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B8F" w:rsidRDefault="00F81FA5">
      <w:pPr>
        <w:pStyle w:val="ad"/>
        <w:tabs>
          <w:tab w:val="clear" w:pos="4536"/>
          <w:tab w:val="clear" w:pos="9072"/>
          <w:tab w:val="right" w:pos="9360"/>
        </w:tabs>
        <w:rPr>
          <w:rFonts w:eastAsia="宋体"/>
          <w:sz w:val="28"/>
          <w:szCs w:val="22"/>
          <w:lang w:eastAsia="zh-CN"/>
        </w:rPr>
      </w:pPr>
      <w:bookmarkStart w:id="0" w:name="OLE_LINK33"/>
      <w:bookmarkStart w:id="1" w:name="OLE_LINK34"/>
      <w:bookmarkStart w:id="2" w:name="OLE_LINK13"/>
      <w:bookmarkStart w:id="3" w:name="OLE_LINK12"/>
      <w:r>
        <w:rPr>
          <w:sz w:val="28"/>
          <w:szCs w:val="22"/>
        </w:rPr>
        <w:t>3GPP TSG RAN WG</w:t>
      </w:r>
      <w:r>
        <w:rPr>
          <w:rFonts w:hint="eastAsia"/>
          <w:sz w:val="28"/>
          <w:szCs w:val="22"/>
        </w:rPr>
        <w:t>1</w:t>
      </w:r>
      <w:r>
        <w:rPr>
          <w:sz w:val="28"/>
          <w:szCs w:val="22"/>
        </w:rPr>
        <w:t xml:space="preserve"> </w:t>
      </w:r>
      <w:r>
        <w:rPr>
          <w:rFonts w:eastAsia="宋体" w:hint="eastAsia"/>
          <w:sz w:val="28"/>
          <w:szCs w:val="22"/>
          <w:lang w:eastAsia="zh-CN"/>
        </w:rPr>
        <w:t xml:space="preserve">#103-e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w:t>
      </w:r>
      <w:r>
        <w:rPr>
          <w:rFonts w:eastAsia="宋体" w:hint="eastAsia"/>
          <w:sz w:val="28"/>
          <w:szCs w:val="22"/>
          <w:lang w:eastAsia="zh-CN"/>
        </w:rPr>
        <w:t>208698</w:t>
      </w:r>
    </w:p>
    <w:p w:rsidR="00C77B8F" w:rsidRDefault="00F81FA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C77B8F" w:rsidRDefault="00F81FA5">
      <w:pPr>
        <w:pStyle w:val="ad"/>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p>
    <w:p w:rsidR="00C77B8F" w:rsidRDefault="00F81FA5">
      <w:pPr>
        <w:pStyle w:val="ad"/>
        <w:tabs>
          <w:tab w:val="clear" w:pos="4536"/>
        </w:tabs>
        <w:ind w:left="1928" w:hangingChars="800" w:hanging="1928"/>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Support additional PDSCH scheduling delay for introduction of 14-HARQ processes in DL for eMTC</w:t>
      </w:r>
    </w:p>
    <w:p w:rsidR="00C77B8F" w:rsidRDefault="00F81FA5">
      <w:pPr>
        <w:pStyle w:val="ad"/>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hint="eastAsia"/>
          <w:sz w:val="24"/>
          <w:szCs w:val="22"/>
          <w:lang w:eastAsia="zh-CN"/>
        </w:rPr>
        <w:t>8.9.2</w:t>
      </w:r>
    </w:p>
    <w:p w:rsidR="00C77B8F" w:rsidRDefault="00F81FA5">
      <w:pPr>
        <w:pStyle w:val="ad"/>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C77B8F" w:rsidRDefault="00C77B8F">
      <w:pPr>
        <w:pBdr>
          <w:bottom w:val="single" w:sz="4" w:space="1" w:color="auto"/>
        </w:pBdr>
        <w:tabs>
          <w:tab w:val="left" w:pos="2552"/>
        </w:tabs>
        <w:rPr>
          <w:sz w:val="24"/>
        </w:rPr>
      </w:pPr>
    </w:p>
    <w:p w:rsidR="00C77B8F" w:rsidRDefault="00F81FA5">
      <w:pPr>
        <w:pStyle w:val="1"/>
        <w:spacing w:beforeLines="50" w:before="120" w:afterLines="50" w:after="120" w:line="360" w:lineRule="auto"/>
        <w:ind w:left="431" w:hanging="431"/>
        <w:rPr>
          <w:rFonts w:eastAsia="宋体"/>
          <w:lang w:val="en-US"/>
        </w:rPr>
      </w:pPr>
      <w:r>
        <w:rPr>
          <w:lang w:val="en-US"/>
        </w:rPr>
        <w:t>Introduction</w:t>
      </w:r>
    </w:p>
    <w:p w:rsidR="00C77B8F" w:rsidRDefault="00F81FA5">
      <w:pPr>
        <w:spacing w:beforeLines="50" w:before="120" w:afterLines="50" w:after="120"/>
        <w:ind w:rightChars="50" w:right="110"/>
        <w:jc w:val="both"/>
        <w:rPr>
          <w:rFonts w:ascii="Times New Roman" w:hAnsi="Times New Roman"/>
          <w:sz w:val="20"/>
          <w:szCs w:val="20"/>
        </w:rPr>
      </w:pPr>
      <w:bookmarkStart w:id="5" w:name="OLE_LINK7"/>
      <w:bookmarkStart w:id="6" w:name="OLE_LINK6"/>
      <w:bookmarkStart w:id="7" w:name="OLE_LINK1"/>
      <w:bookmarkStart w:id="8" w:name="OLE_LINK2"/>
      <w:bookmarkEnd w:id="2"/>
      <w:bookmarkEnd w:id="3"/>
      <w:r>
        <w:rPr>
          <w:rFonts w:ascii="Times New Roman" w:hAnsi="Times New Roman"/>
          <w:sz w:val="20"/>
          <w:szCs w:val="20"/>
        </w:rPr>
        <w:t>In RAN</w:t>
      </w:r>
      <w:r>
        <w:rPr>
          <w:rFonts w:ascii="Times New Roman" w:hAnsi="Times New Roman" w:hint="eastAsia"/>
          <w:sz w:val="20"/>
          <w:szCs w:val="20"/>
        </w:rPr>
        <w:t xml:space="preserve"> #102</w:t>
      </w:r>
      <w:r>
        <w:rPr>
          <w:rFonts w:ascii="Times New Roman" w:hAnsi="Times New Roman"/>
          <w:sz w:val="20"/>
          <w:szCs w:val="20"/>
        </w:rPr>
        <w:t xml:space="preserve"> e-meeting, </w:t>
      </w:r>
      <w:r>
        <w:rPr>
          <w:rFonts w:ascii="Times New Roman" w:hAnsi="Times New Roman" w:hint="eastAsia"/>
          <w:sz w:val="20"/>
          <w:szCs w:val="20"/>
        </w:rPr>
        <w:t>the following was agreed for LTE-MTC</w:t>
      </w:r>
      <w:r>
        <w:rPr>
          <w:rFonts w:ascii="Times New Roman" w:hAnsi="Times New Roman"/>
          <w:sz w:val="20"/>
          <w:szCs w:val="20"/>
        </w:rPr>
        <w:t xml:space="preserve"> </w:t>
      </w:r>
      <w:r>
        <w:rPr>
          <w:rFonts w:ascii="Times New Roman" w:hAnsi="Times New Roman" w:hint="eastAsia"/>
          <w:sz w:val="20"/>
          <w:szCs w:val="20"/>
          <w:vertAlign w:val="superscript"/>
        </w:rPr>
        <w:t>[1]</w:t>
      </w:r>
      <w:r>
        <w:rPr>
          <w:rFonts w:ascii="Times New Roman" w:hAnsi="Times New Roman" w:hint="eastAsia"/>
          <w:sz w:val="20"/>
          <w:szCs w:val="20"/>
        </w:rPr>
        <w:t>：</w:t>
      </w:r>
    </w:p>
    <w:p w:rsidR="00C77B8F" w:rsidRDefault="00F81FA5">
      <w:pPr>
        <w:jc w:val="both"/>
        <w:rPr>
          <w:rFonts w:ascii="Times New Roman" w:hAnsi="Times New Roman"/>
          <w:sz w:val="20"/>
          <w:szCs w:val="20"/>
        </w:rPr>
      </w:pPr>
      <w:r>
        <w:rPr>
          <w:rFonts w:ascii="Times New Roman" w:hAnsi="Times New Roman"/>
          <w:sz w:val="20"/>
          <w:szCs w:val="20"/>
        </w:rPr>
        <w:t>For a UE configured with 14 HARQ processes, a PDSCH scheduling delay of 2 BL/CE DL subframes and 7 [FFS subframes type(s)] is supported at least in the PUCCH non-repetition case:</w:t>
      </w:r>
    </w:p>
    <w:p w:rsidR="00C77B8F" w:rsidRDefault="00F81FA5">
      <w:pPr>
        <w:numPr>
          <w:ilvl w:val="0"/>
          <w:numId w:val="2"/>
        </w:numPr>
        <w:spacing w:beforeLines="50" w:before="120" w:after="120"/>
        <w:ind w:left="714" w:hanging="357"/>
        <w:jc w:val="both"/>
        <w:rPr>
          <w:rFonts w:ascii="Times New Roman" w:hAnsi="Times New Roman"/>
          <w:sz w:val="20"/>
          <w:szCs w:val="20"/>
        </w:rPr>
      </w:pPr>
      <w:r>
        <w:rPr>
          <w:rFonts w:ascii="Times New Roman" w:hAnsi="Times New Roman"/>
          <w:sz w:val="20"/>
          <w:szCs w:val="20"/>
        </w:rPr>
        <w:t>FFS details of signaling.</w:t>
      </w:r>
    </w:p>
    <w:p w:rsidR="00C77B8F" w:rsidRDefault="00F81FA5">
      <w:pPr>
        <w:numPr>
          <w:ilvl w:val="0"/>
          <w:numId w:val="2"/>
        </w:numPr>
        <w:spacing w:beforeLines="50" w:before="120" w:after="120"/>
        <w:ind w:left="714" w:hanging="357"/>
        <w:jc w:val="both"/>
        <w:rPr>
          <w:rFonts w:ascii="Times New Roman" w:hAnsi="Times New Roman"/>
          <w:sz w:val="20"/>
          <w:szCs w:val="20"/>
        </w:rPr>
      </w:pPr>
      <w:r>
        <w:rPr>
          <w:rFonts w:ascii="Times New Roman" w:hAnsi="Times New Roman"/>
          <w:sz w:val="20"/>
          <w:szCs w:val="20"/>
        </w:rPr>
        <w:t>FFS other delay values to account for the presence of non-BL/CE subframes in the PUCCH non-repetition case.</w:t>
      </w:r>
    </w:p>
    <w:p w:rsidR="00C77B8F" w:rsidRDefault="00F81FA5">
      <w:pPr>
        <w:numPr>
          <w:ilvl w:val="0"/>
          <w:numId w:val="2"/>
        </w:numPr>
        <w:spacing w:beforeLines="50" w:before="120" w:after="120"/>
        <w:ind w:left="714" w:hanging="357"/>
        <w:jc w:val="both"/>
        <w:rPr>
          <w:rFonts w:ascii="Times New Roman" w:hAnsi="Times New Roman"/>
          <w:sz w:val="20"/>
          <w:szCs w:val="20"/>
        </w:rPr>
      </w:pPr>
      <w:r>
        <w:rPr>
          <w:rFonts w:ascii="Times New Roman" w:hAnsi="Times New Roman"/>
          <w:sz w:val="20"/>
          <w:szCs w:val="20"/>
        </w:rPr>
        <w:t>FFS if the 14 HARQ processes feature is supported in PUCCH repetition case.</w:t>
      </w:r>
    </w:p>
    <w:bookmarkEnd w:id="5"/>
    <w:bookmarkEnd w:id="6"/>
    <w:p w:rsidR="00C77B8F" w:rsidRDefault="00F81FA5">
      <w:pPr>
        <w:spacing w:beforeLines="50" w:before="120" w:afterLines="100" w:after="240"/>
        <w:ind w:rightChars="50" w:right="110"/>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w:t>
      </w:r>
      <w:bookmarkEnd w:id="7"/>
      <w:bookmarkEnd w:id="8"/>
      <w:r>
        <w:rPr>
          <w:rFonts w:ascii="Times New Roman" w:hAnsi="Times New Roman" w:hint="eastAsia"/>
          <w:sz w:val="20"/>
          <w:szCs w:val="20"/>
        </w:rPr>
        <w:t xml:space="preserve">additional PDSCH scheduling delay </w:t>
      </w:r>
      <w:r>
        <w:rPr>
          <w:rFonts w:ascii="Times New Roman" w:hAnsi="Times New Roman"/>
          <w:sz w:val="20"/>
          <w:szCs w:val="20"/>
        </w:rPr>
        <w:t xml:space="preserve">and related HARQ-ACK delay </w:t>
      </w:r>
      <w:r>
        <w:rPr>
          <w:rFonts w:ascii="Times New Roman" w:hAnsi="Times New Roman" w:hint="eastAsia"/>
          <w:sz w:val="20"/>
          <w:szCs w:val="20"/>
        </w:rPr>
        <w:t xml:space="preserve">for </w:t>
      </w:r>
      <w:r>
        <w:rPr>
          <w:rFonts w:ascii="Times New Roman" w:hAnsi="Times New Roman"/>
          <w:sz w:val="20"/>
          <w:szCs w:val="20"/>
        </w:rPr>
        <w:t>LTE-</w:t>
      </w:r>
      <w:r>
        <w:rPr>
          <w:rFonts w:ascii="Times New Roman" w:hAnsi="Times New Roman" w:hint="eastAsia"/>
          <w:sz w:val="20"/>
          <w:szCs w:val="20"/>
        </w:rPr>
        <w:t>MTC.</w:t>
      </w:r>
    </w:p>
    <w:p w:rsidR="00C77B8F" w:rsidRDefault="00F81FA5">
      <w:pPr>
        <w:pStyle w:val="1"/>
        <w:spacing w:beforeLines="50" w:before="120" w:afterLines="50" w:after="120" w:line="360" w:lineRule="auto"/>
        <w:ind w:left="431" w:hanging="431"/>
        <w:rPr>
          <w:lang w:val="en-US"/>
        </w:rPr>
      </w:pPr>
      <w:r>
        <w:rPr>
          <w:rFonts w:hint="eastAsia"/>
          <w:lang w:val="en-US"/>
        </w:rPr>
        <w:t xml:space="preserve">Discussion </w:t>
      </w:r>
    </w:p>
    <w:p w:rsidR="00C77B8F" w:rsidRDefault="00F81FA5">
      <w:pPr>
        <w:pStyle w:val="2"/>
      </w:pPr>
      <w:r>
        <w:rPr>
          <w:rFonts w:hint="eastAsia"/>
        </w:rPr>
        <w:t>PDSCH scheduling delay</w:t>
      </w:r>
    </w:p>
    <w:p w:rsidR="00C77B8F" w:rsidRDefault="00F81FA5">
      <w:pPr>
        <w:spacing w:beforeLines="50" w:before="120" w:after="120"/>
      </w:pPr>
      <w:r>
        <w:rPr>
          <w:rFonts w:ascii="Times New Roman" w:hAnsi="Times New Roman"/>
          <w:sz w:val="20"/>
          <w:szCs w:val="20"/>
        </w:rPr>
        <w:t xml:space="preserve">Based on the agreement, the subframes type should be defined when the value of PDSCH scheduling delay is 7. </w:t>
      </w:r>
      <w:r>
        <w:rPr>
          <w:rFonts w:ascii="Times New Roman" w:hAnsi="Times New Roman" w:hint="eastAsia"/>
          <w:sz w:val="20"/>
          <w:szCs w:val="20"/>
        </w:rPr>
        <w:t>The details of PDSCH scheduling of HARQ process#10&amp;11</w:t>
      </w:r>
      <w:r>
        <w:rPr>
          <w:rFonts w:ascii="Times New Roman" w:hAnsi="Times New Roman"/>
          <w:sz w:val="20"/>
          <w:szCs w:val="20"/>
        </w:rPr>
        <w:t xml:space="preserve"> are</w:t>
      </w:r>
      <w:r>
        <w:rPr>
          <w:rFonts w:ascii="Times New Roman" w:hAnsi="Times New Roman" w:hint="eastAsia"/>
          <w:sz w:val="20"/>
          <w:szCs w:val="20"/>
        </w:rPr>
        <w:t xml:space="preserve"> shown in Figure 1.</w:t>
      </w:r>
    </w:p>
    <w:p w:rsidR="00C77B8F" w:rsidRDefault="00F81FA5">
      <w:pPr>
        <w:jc w:val="center"/>
      </w:pPr>
      <w:r>
        <w:rPr>
          <w:noProof/>
        </w:rPr>
        <w:drawing>
          <wp:inline distT="0" distB="0" distL="114300" distR="114300">
            <wp:extent cx="4010025" cy="1285875"/>
            <wp:effectExtent l="0" t="0" r="9525" b="952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9"/>
                    <a:stretch>
                      <a:fillRect/>
                    </a:stretch>
                  </pic:blipFill>
                  <pic:spPr>
                    <a:xfrm>
                      <a:off x="0" y="0"/>
                      <a:ext cx="4010025" cy="1285875"/>
                    </a:xfrm>
                    <a:prstGeom prst="rect">
                      <a:avLst/>
                    </a:prstGeom>
                    <a:noFill/>
                    <a:ln>
                      <a:noFill/>
                    </a:ln>
                  </pic:spPr>
                </pic:pic>
              </a:graphicData>
            </a:graphic>
          </wp:inline>
        </w:drawing>
      </w:r>
    </w:p>
    <w:p w:rsidR="00C77B8F" w:rsidRDefault="00F81FA5">
      <w:pPr>
        <w:jc w:val="center"/>
        <w:rPr>
          <w:rFonts w:ascii="Times New Roman" w:hAnsi="Times New Roman"/>
          <w:sz w:val="20"/>
          <w:szCs w:val="20"/>
        </w:rPr>
      </w:pPr>
      <w:r>
        <w:rPr>
          <w:rFonts w:ascii="Times New Roman" w:hAnsi="Times New Roman"/>
          <w:sz w:val="20"/>
          <w:szCs w:val="20"/>
        </w:rPr>
        <w:t>Figure 1.</w:t>
      </w:r>
      <w:r>
        <w:rPr>
          <w:rFonts w:ascii="Times New Roman" w:hAnsi="Times New Roman" w:hint="eastAsia"/>
          <w:sz w:val="20"/>
          <w:szCs w:val="20"/>
        </w:rPr>
        <w:t xml:space="preserve"> Illustration of </w:t>
      </w:r>
      <w:r>
        <w:rPr>
          <w:rFonts w:ascii="Times New Roman" w:hAnsi="Times New Roman"/>
          <w:sz w:val="20"/>
          <w:szCs w:val="20"/>
        </w:rPr>
        <w:t>PDSCH scheduling</w:t>
      </w:r>
    </w:p>
    <w:p w:rsidR="00C77B8F" w:rsidRDefault="00F81FA5">
      <w:pPr>
        <w:spacing w:beforeLines="50" w:before="120" w:after="120"/>
        <w:jc w:val="both"/>
        <w:rPr>
          <w:b/>
          <w:bCs/>
          <w:i/>
          <w:iCs/>
        </w:rPr>
      </w:pPr>
      <w:r>
        <w:rPr>
          <w:rFonts w:ascii="Times New Roman" w:hAnsi="Times New Roman"/>
          <w:sz w:val="20"/>
          <w:szCs w:val="20"/>
        </w:rPr>
        <w:t>For HARQ process #10,</w:t>
      </w:r>
      <w:r>
        <w:rPr>
          <w:rFonts w:ascii="Times New Roman" w:hAnsi="Times New Roman" w:hint="eastAsia"/>
          <w:sz w:val="20"/>
          <w:szCs w:val="20"/>
        </w:rPr>
        <w:t xml:space="preserve"> the 7 subframes are </w:t>
      </w:r>
      <w:r>
        <w:rPr>
          <w:rFonts w:ascii="Times New Roman" w:hAnsi="Times New Roman"/>
          <w:sz w:val="20"/>
          <w:szCs w:val="20"/>
        </w:rPr>
        <w:t xml:space="preserve">1 BL/CE </w:t>
      </w:r>
      <w:r>
        <w:rPr>
          <w:rFonts w:ascii="Times New Roman" w:hAnsi="Times New Roman" w:hint="eastAsia"/>
          <w:sz w:val="20"/>
          <w:szCs w:val="20"/>
        </w:rPr>
        <w:t>DL</w:t>
      </w:r>
      <w:r>
        <w:rPr>
          <w:rFonts w:ascii="Times New Roman" w:hAnsi="Times New Roman"/>
          <w:sz w:val="20"/>
          <w:szCs w:val="20"/>
        </w:rPr>
        <w:t xml:space="preserve"> subframe, 1 subframe, 3 BL/CE </w:t>
      </w:r>
      <w:r>
        <w:rPr>
          <w:rFonts w:ascii="Times New Roman" w:hAnsi="Times New Roman" w:hint="eastAsia"/>
          <w:sz w:val="20"/>
          <w:szCs w:val="20"/>
        </w:rPr>
        <w:t>UL</w:t>
      </w:r>
      <w:r>
        <w:rPr>
          <w:rFonts w:ascii="Times New Roman" w:hAnsi="Times New Roman"/>
          <w:sz w:val="20"/>
          <w:szCs w:val="20"/>
        </w:rPr>
        <w:t xml:space="preserve"> subframe</w:t>
      </w:r>
      <w:r>
        <w:rPr>
          <w:rFonts w:ascii="Times New Roman" w:hAnsi="Times New Roman" w:hint="eastAsia"/>
          <w:sz w:val="20"/>
          <w:szCs w:val="20"/>
        </w:rPr>
        <w:t>s,</w:t>
      </w:r>
      <w:r>
        <w:rPr>
          <w:rFonts w:ascii="Times New Roman" w:hAnsi="Times New Roman"/>
          <w:sz w:val="20"/>
          <w:szCs w:val="20"/>
        </w:rPr>
        <w:t xml:space="preserve"> 1 subframe</w:t>
      </w:r>
      <w:r>
        <w:rPr>
          <w:rFonts w:ascii="Times New Roman" w:hAnsi="Times New Roman" w:hint="eastAsia"/>
          <w:sz w:val="20"/>
          <w:szCs w:val="20"/>
        </w:rPr>
        <w:t xml:space="preserve"> and 1 BL/CE DL subframe</w:t>
      </w:r>
      <w:r>
        <w:rPr>
          <w:rFonts w:ascii="Times New Roman" w:hAnsi="Times New Roman"/>
          <w:sz w:val="20"/>
          <w:szCs w:val="20"/>
        </w:rPr>
        <w:t xml:space="preserve"> in sequence</w:t>
      </w:r>
      <w:r>
        <w:rPr>
          <w:rFonts w:ascii="Times New Roman" w:hAnsi="Times New Roman" w:hint="eastAsia"/>
          <w:sz w:val="20"/>
          <w:szCs w:val="20"/>
        </w:rPr>
        <w:t>. For HARQ process</w:t>
      </w:r>
      <w:r>
        <w:rPr>
          <w:rFonts w:ascii="Times New Roman" w:hAnsi="Times New Roman"/>
          <w:sz w:val="20"/>
          <w:szCs w:val="20"/>
        </w:rPr>
        <w:t xml:space="preserve"> </w:t>
      </w:r>
      <w:r>
        <w:rPr>
          <w:rFonts w:ascii="Times New Roman" w:hAnsi="Times New Roman" w:hint="eastAsia"/>
          <w:sz w:val="20"/>
          <w:szCs w:val="20"/>
        </w:rPr>
        <w:t>#11, the 7 subframes are 1 subframe, 3 BL/CE UL subframes, 1 subframe and 2 BL/CE DL subframes</w:t>
      </w:r>
      <w:r>
        <w:rPr>
          <w:rFonts w:ascii="Times New Roman" w:hAnsi="Times New Roman"/>
          <w:sz w:val="20"/>
          <w:szCs w:val="20"/>
        </w:rPr>
        <w:t xml:space="preserve"> in sequence</w:t>
      </w:r>
      <w:r>
        <w:rPr>
          <w:rFonts w:ascii="Times New Roman" w:hAnsi="Times New Roman" w:hint="eastAsia"/>
          <w:sz w:val="20"/>
          <w:szCs w:val="20"/>
        </w:rPr>
        <w:t>. The subframe</w:t>
      </w:r>
      <w:r w:rsidR="00137FC7">
        <w:rPr>
          <w:rFonts w:ascii="Times New Roman" w:hAnsi="Times New Roman"/>
          <w:sz w:val="20"/>
          <w:szCs w:val="20"/>
        </w:rPr>
        <w:t>s</w:t>
      </w:r>
      <w:r>
        <w:rPr>
          <w:rFonts w:ascii="Times New Roman" w:hAnsi="Times New Roman" w:hint="eastAsia"/>
          <w:sz w:val="20"/>
          <w:szCs w:val="20"/>
        </w:rPr>
        <w:t xml:space="preserve"> type of HARQ process</w:t>
      </w:r>
      <w:r>
        <w:rPr>
          <w:rFonts w:ascii="Times New Roman" w:hAnsi="Times New Roman"/>
          <w:sz w:val="20"/>
          <w:szCs w:val="20"/>
        </w:rPr>
        <w:t xml:space="preserve"> </w:t>
      </w:r>
      <w:r>
        <w:rPr>
          <w:rFonts w:ascii="Times New Roman" w:hAnsi="Times New Roman" w:hint="eastAsia"/>
          <w:sz w:val="20"/>
          <w:szCs w:val="20"/>
        </w:rPr>
        <w:t>#12 is same as HARQ process</w:t>
      </w:r>
      <w:r>
        <w:rPr>
          <w:rFonts w:ascii="Times New Roman" w:hAnsi="Times New Roman"/>
          <w:sz w:val="20"/>
          <w:szCs w:val="20"/>
        </w:rPr>
        <w:t xml:space="preserve"> </w:t>
      </w:r>
      <w:r>
        <w:rPr>
          <w:rFonts w:ascii="Times New Roman" w:hAnsi="Times New Roman" w:hint="eastAsia"/>
          <w:sz w:val="20"/>
          <w:szCs w:val="20"/>
        </w:rPr>
        <w:t>#10 and the subframe</w:t>
      </w:r>
      <w:r w:rsidR="00137FC7">
        <w:rPr>
          <w:rFonts w:ascii="Times New Roman" w:hAnsi="Times New Roman"/>
          <w:sz w:val="20"/>
          <w:szCs w:val="20"/>
        </w:rPr>
        <w:t>s</w:t>
      </w:r>
      <w:r>
        <w:rPr>
          <w:rFonts w:ascii="Times New Roman" w:hAnsi="Times New Roman" w:hint="eastAsia"/>
          <w:sz w:val="20"/>
          <w:szCs w:val="20"/>
        </w:rPr>
        <w:t xml:space="preserve"> type of HARQ process</w:t>
      </w:r>
      <w:r>
        <w:rPr>
          <w:rFonts w:ascii="Times New Roman" w:hAnsi="Times New Roman"/>
          <w:sz w:val="20"/>
          <w:szCs w:val="20"/>
        </w:rPr>
        <w:t xml:space="preserve"> </w:t>
      </w:r>
      <w:r>
        <w:rPr>
          <w:rFonts w:ascii="Times New Roman" w:hAnsi="Times New Roman" w:hint="eastAsia"/>
          <w:sz w:val="20"/>
          <w:szCs w:val="20"/>
        </w:rPr>
        <w:t xml:space="preserve">#13 is same as HARQ process#11. Therefore, there are two subframes types when the value of PDSCH scheduling delay is 7. </w:t>
      </w:r>
    </w:p>
    <w:p w:rsidR="00C77B8F" w:rsidRDefault="00F81FA5">
      <w:pPr>
        <w:rPr>
          <w:rFonts w:ascii="Times New Roman" w:hAnsi="Times New Roman"/>
          <w:b/>
          <w:bCs/>
          <w:i/>
          <w:iCs/>
          <w:sz w:val="20"/>
          <w:szCs w:val="20"/>
        </w:rPr>
      </w:pPr>
      <w:r>
        <w:rPr>
          <w:rFonts w:ascii="Times New Roman" w:hAnsi="Times New Roman"/>
          <w:b/>
          <w:bCs/>
          <w:i/>
          <w:iCs/>
          <w:sz w:val="20"/>
          <w:szCs w:val="20"/>
        </w:rPr>
        <w:t>Proposal 1</w:t>
      </w:r>
      <w:r>
        <w:rPr>
          <w:rFonts w:ascii="Times New Roman" w:hAnsi="Times New Roman" w:hint="eastAsia"/>
          <w:b/>
          <w:bCs/>
          <w:i/>
          <w:iCs/>
          <w:sz w:val="20"/>
          <w:szCs w:val="20"/>
        </w:rPr>
        <w:t xml:space="preserve">: </w:t>
      </w:r>
      <w:r>
        <w:rPr>
          <w:rFonts w:ascii="Times New Roman" w:hAnsi="Times New Roman"/>
          <w:b/>
          <w:bCs/>
          <w:i/>
          <w:iCs/>
          <w:sz w:val="20"/>
          <w:szCs w:val="20"/>
        </w:rPr>
        <w:t xml:space="preserve">Two subframes types should be </w:t>
      </w:r>
      <w:r>
        <w:rPr>
          <w:rFonts w:ascii="Times New Roman" w:hAnsi="Times New Roman" w:hint="eastAsia"/>
          <w:b/>
          <w:bCs/>
          <w:i/>
          <w:iCs/>
          <w:sz w:val="20"/>
          <w:szCs w:val="20"/>
        </w:rPr>
        <w:t>supported</w:t>
      </w:r>
      <w:r>
        <w:rPr>
          <w:rFonts w:ascii="Times New Roman" w:hAnsi="Times New Roman"/>
          <w:b/>
          <w:bCs/>
          <w:i/>
          <w:iCs/>
          <w:sz w:val="20"/>
          <w:szCs w:val="20"/>
        </w:rPr>
        <w:t xml:space="preserve"> when the value of PDSCH scheduling delay is 7.</w:t>
      </w:r>
    </w:p>
    <w:p w:rsidR="00C77B8F" w:rsidRDefault="00F81FA5">
      <w:pPr>
        <w:pStyle w:val="afa"/>
        <w:numPr>
          <w:ilvl w:val="0"/>
          <w:numId w:val="3"/>
        </w:numPr>
        <w:spacing w:beforeLines="50" w:before="120" w:after="120"/>
        <w:ind w:firstLineChars="0" w:hanging="278"/>
        <w:rPr>
          <w:rFonts w:ascii="Times New Roman" w:hAnsi="Times New Roman"/>
          <w:b/>
          <w:i/>
          <w:sz w:val="20"/>
          <w:szCs w:val="20"/>
        </w:rPr>
      </w:pPr>
      <w:r>
        <w:rPr>
          <w:rFonts w:ascii="Times New Roman" w:hAnsi="Times New Roman"/>
          <w:b/>
          <w:i/>
          <w:sz w:val="20"/>
          <w:szCs w:val="20"/>
        </w:rPr>
        <w:lastRenderedPageBreak/>
        <w:t>s</w:t>
      </w:r>
      <w:r>
        <w:rPr>
          <w:rFonts w:ascii="Times New Roman" w:hAnsi="Times New Roman" w:hint="eastAsia"/>
          <w:b/>
          <w:i/>
          <w:sz w:val="20"/>
          <w:szCs w:val="20"/>
        </w:rPr>
        <w:t xml:space="preserve">ubframes type </w:t>
      </w:r>
      <w:r>
        <w:rPr>
          <w:rFonts w:ascii="Times New Roman" w:hAnsi="Times New Roman"/>
          <w:b/>
          <w:i/>
          <w:sz w:val="20"/>
          <w:szCs w:val="20"/>
        </w:rPr>
        <w:t xml:space="preserve">1: 1 BL/CE </w:t>
      </w:r>
      <w:r>
        <w:rPr>
          <w:rFonts w:ascii="Times New Roman" w:hAnsi="Times New Roman" w:hint="eastAsia"/>
          <w:b/>
          <w:i/>
          <w:sz w:val="20"/>
          <w:szCs w:val="20"/>
        </w:rPr>
        <w:t>DL</w:t>
      </w:r>
      <w:r>
        <w:rPr>
          <w:rFonts w:ascii="Times New Roman" w:hAnsi="Times New Roman"/>
          <w:b/>
          <w:i/>
          <w:sz w:val="20"/>
          <w:szCs w:val="20"/>
        </w:rPr>
        <w:t xml:space="preserve"> subframe + 1 subframe + 3 BL/CE </w:t>
      </w:r>
      <w:r>
        <w:rPr>
          <w:rFonts w:ascii="Times New Roman" w:hAnsi="Times New Roman" w:hint="eastAsia"/>
          <w:b/>
          <w:i/>
          <w:sz w:val="20"/>
          <w:szCs w:val="20"/>
        </w:rPr>
        <w:t>UL</w:t>
      </w:r>
      <w:r>
        <w:rPr>
          <w:rFonts w:ascii="Times New Roman" w:hAnsi="Times New Roman"/>
          <w:b/>
          <w:i/>
          <w:sz w:val="20"/>
          <w:szCs w:val="20"/>
        </w:rPr>
        <w:t xml:space="preserve"> subframe</w:t>
      </w:r>
      <w:r>
        <w:rPr>
          <w:rFonts w:ascii="Times New Roman" w:hAnsi="Times New Roman" w:hint="eastAsia"/>
          <w:b/>
          <w:i/>
          <w:sz w:val="20"/>
          <w:szCs w:val="20"/>
        </w:rPr>
        <w:t>s</w:t>
      </w:r>
      <w:r>
        <w:rPr>
          <w:rFonts w:ascii="Times New Roman" w:hAnsi="Times New Roman"/>
          <w:b/>
          <w:i/>
          <w:sz w:val="20"/>
          <w:szCs w:val="20"/>
        </w:rPr>
        <w:t xml:space="preserve"> + 1 subframe</w:t>
      </w:r>
      <w:r>
        <w:rPr>
          <w:rFonts w:ascii="Times New Roman" w:hAnsi="Times New Roman" w:hint="eastAsia"/>
          <w:b/>
          <w:i/>
          <w:sz w:val="20"/>
          <w:szCs w:val="20"/>
        </w:rPr>
        <w:t xml:space="preserve"> </w:t>
      </w:r>
      <w:r>
        <w:rPr>
          <w:rFonts w:ascii="Times New Roman" w:hAnsi="Times New Roman"/>
          <w:b/>
          <w:i/>
          <w:sz w:val="20"/>
          <w:szCs w:val="20"/>
        </w:rPr>
        <w:t xml:space="preserve">+ </w:t>
      </w:r>
      <w:r>
        <w:rPr>
          <w:rFonts w:ascii="Times New Roman" w:hAnsi="Times New Roman" w:hint="eastAsia"/>
          <w:b/>
          <w:i/>
          <w:sz w:val="20"/>
          <w:szCs w:val="20"/>
        </w:rPr>
        <w:t>1 BL/CE DL subframe</w:t>
      </w:r>
    </w:p>
    <w:p w:rsidR="00C77B8F" w:rsidRDefault="00F81FA5">
      <w:pPr>
        <w:pStyle w:val="afa"/>
        <w:numPr>
          <w:ilvl w:val="0"/>
          <w:numId w:val="3"/>
        </w:numPr>
        <w:spacing w:beforeLines="50" w:before="120" w:after="240"/>
        <w:ind w:firstLineChars="0" w:hanging="278"/>
        <w:rPr>
          <w:rFonts w:ascii="Times New Roman" w:hAnsi="Times New Roman"/>
          <w:sz w:val="20"/>
          <w:szCs w:val="20"/>
        </w:rPr>
      </w:pPr>
      <w:r>
        <w:rPr>
          <w:rFonts w:ascii="Times New Roman" w:hAnsi="Times New Roman"/>
          <w:b/>
          <w:i/>
          <w:sz w:val="20"/>
          <w:szCs w:val="20"/>
        </w:rPr>
        <w:t xml:space="preserve">subframes type 2: </w:t>
      </w:r>
      <w:r>
        <w:rPr>
          <w:rFonts w:ascii="Times New Roman" w:hAnsi="Times New Roman" w:hint="eastAsia"/>
          <w:b/>
          <w:i/>
          <w:sz w:val="20"/>
          <w:szCs w:val="20"/>
        </w:rPr>
        <w:t>1 subframe</w:t>
      </w:r>
      <w:r>
        <w:rPr>
          <w:rFonts w:ascii="Times New Roman" w:hAnsi="Times New Roman"/>
          <w:b/>
          <w:i/>
          <w:sz w:val="20"/>
          <w:szCs w:val="20"/>
        </w:rPr>
        <w:t xml:space="preserve"> +</w:t>
      </w:r>
      <w:r>
        <w:rPr>
          <w:rFonts w:ascii="Times New Roman" w:hAnsi="Times New Roman" w:hint="eastAsia"/>
          <w:b/>
          <w:i/>
          <w:sz w:val="20"/>
          <w:szCs w:val="20"/>
        </w:rPr>
        <w:t xml:space="preserve"> 3 BL/CE UL subframes</w:t>
      </w:r>
      <w:r>
        <w:rPr>
          <w:rFonts w:ascii="Times New Roman" w:hAnsi="Times New Roman"/>
          <w:b/>
          <w:i/>
          <w:sz w:val="20"/>
          <w:szCs w:val="20"/>
        </w:rPr>
        <w:t xml:space="preserve"> +</w:t>
      </w:r>
      <w:r>
        <w:rPr>
          <w:rFonts w:ascii="Times New Roman" w:hAnsi="Times New Roman" w:hint="eastAsia"/>
          <w:b/>
          <w:i/>
          <w:sz w:val="20"/>
          <w:szCs w:val="20"/>
        </w:rPr>
        <w:t xml:space="preserve"> 1 subframe </w:t>
      </w:r>
      <w:r>
        <w:rPr>
          <w:rFonts w:ascii="Times New Roman" w:hAnsi="Times New Roman"/>
          <w:b/>
          <w:i/>
          <w:sz w:val="20"/>
          <w:szCs w:val="20"/>
        </w:rPr>
        <w:t xml:space="preserve">+ </w:t>
      </w:r>
      <w:r>
        <w:rPr>
          <w:rFonts w:ascii="Times New Roman" w:hAnsi="Times New Roman" w:hint="eastAsia"/>
          <w:b/>
          <w:i/>
          <w:sz w:val="20"/>
          <w:szCs w:val="20"/>
        </w:rPr>
        <w:t>2 BL/CE DL subframes</w:t>
      </w:r>
    </w:p>
    <w:p w:rsidR="00C77B8F" w:rsidRDefault="00F81FA5">
      <w:pPr>
        <w:spacing w:beforeLines="50" w:before="120" w:after="120"/>
        <w:jc w:val="both"/>
        <w:rPr>
          <w:rFonts w:ascii="Times New Roman" w:hAnsi="Times New Roman"/>
          <w:sz w:val="20"/>
          <w:szCs w:val="20"/>
        </w:rPr>
      </w:pPr>
      <w:r>
        <w:rPr>
          <w:rFonts w:ascii="Times New Roman" w:hAnsi="Times New Roman"/>
          <w:sz w:val="20"/>
          <w:szCs w:val="20"/>
        </w:rPr>
        <w:t>The subframe</w:t>
      </w:r>
      <w:r>
        <w:rPr>
          <w:rFonts w:ascii="Times New Roman" w:hAnsi="Times New Roman" w:hint="eastAsia"/>
          <w:sz w:val="20"/>
          <w:szCs w:val="20"/>
        </w:rPr>
        <w:t>s</w:t>
      </w:r>
      <w:r>
        <w:rPr>
          <w:rFonts w:ascii="Times New Roman" w:hAnsi="Times New Roman"/>
          <w:sz w:val="20"/>
          <w:szCs w:val="20"/>
        </w:rPr>
        <w:t xml:space="preserve"> type can be determined by explicit indication. For example, the subframe</w:t>
      </w:r>
      <w:r>
        <w:rPr>
          <w:rFonts w:ascii="Times New Roman" w:hAnsi="Times New Roman" w:hint="eastAsia"/>
          <w:sz w:val="20"/>
          <w:szCs w:val="20"/>
        </w:rPr>
        <w:t>s</w:t>
      </w:r>
      <w:r>
        <w:rPr>
          <w:rFonts w:ascii="Times New Roman" w:hAnsi="Times New Roman"/>
          <w:sz w:val="20"/>
          <w:szCs w:val="20"/>
        </w:rPr>
        <w:t xml:space="preserve"> type and the value of PDSCH scheduling delay </w:t>
      </w:r>
      <w:r>
        <w:rPr>
          <w:rFonts w:ascii="Times New Roman" w:hAnsi="Times New Roman" w:hint="eastAsia"/>
          <w:sz w:val="20"/>
          <w:szCs w:val="20"/>
        </w:rPr>
        <w:t xml:space="preserve">can be </w:t>
      </w:r>
      <w:r>
        <w:rPr>
          <w:rFonts w:ascii="Times New Roman" w:hAnsi="Times New Roman"/>
          <w:sz w:val="20"/>
          <w:szCs w:val="20"/>
        </w:rPr>
        <w:t>jointly indicated by DCI. The subframe</w:t>
      </w:r>
      <w:r>
        <w:rPr>
          <w:rFonts w:ascii="Times New Roman" w:hAnsi="Times New Roman" w:hint="eastAsia"/>
          <w:sz w:val="20"/>
          <w:szCs w:val="20"/>
        </w:rPr>
        <w:t>s</w:t>
      </w:r>
      <w:r>
        <w:rPr>
          <w:rFonts w:ascii="Times New Roman" w:hAnsi="Times New Roman"/>
          <w:sz w:val="20"/>
          <w:szCs w:val="20"/>
        </w:rPr>
        <w:t xml:space="preserve"> type</w:t>
      </w:r>
      <w:r>
        <w:rPr>
          <w:rFonts w:ascii="Times New Roman" w:hAnsi="Times New Roman" w:hint="eastAsia"/>
          <w:sz w:val="20"/>
          <w:szCs w:val="20"/>
        </w:rPr>
        <w:t xml:space="preserve"> </w:t>
      </w:r>
      <w:r>
        <w:rPr>
          <w:rFonts w:ascii="Times New Roman" w:hAnsi="Times New Roman"/>
          <w:sz w:val="20"/>
          <w:szCs w:val="20"/>
        </w:rPr>
        <w:t xml:space="preserve">can also be implicitly determined. For example, </w:t>
      </w:r>
      <w:r>
        <w:rPr>
          <w:rFonts w:ascii="Times New Roman" w:hAnsi="Times New Roman" w:hint="eastAsia"/>
          <w:sz w:val="20"/>
          <w:szCs w:val="20"/>
        </w:rPr>
        <w:t xml:space="preserve">the subframes type is </w:t>
      </w:r>
      <w:r>
        <w:rPr>
          <w:rFonts w:ascii="Times New Roman" w:hAnsi="Times New Roman"/>
          <w:sz w:val="20"/>
          <w:szCs w:val="20"/>
        </w:rPr>
        <w:t>subframe type 1</w:t>
      </w:r>
      <w:r>
        <w:rPr>
          <w:rFonts w:ascii="Times New Roman" w:hAnsi="Times New Roman" w:hint="eastAsia"/>
          <w:sz w:val="20"/>
          <w:szCs w:val="20"/>
        </w:rPr>
        <w:t xml:space="preserve"> when the HARQ process number is an odd number and the subframes type is </w:t>
      </w:r>
      <w:r>
        <w:rPr>
          <w:rFonts w:ascii="Times New Roman" w:hAnsi="Times New Roman"/>
          <w:sz w:val="20"/>
          <w:szCs w:val="20"/>
        </w:rPr>
        <w:t>subframe type 2</w:t>
      </w:r>
      <w:r>
        <w:rPr>
          <w:rFonts w:ascii="Times New Roman" w:hAnsi="Times New Roman" w:hint="eastAsia"/>
          <w:sz w:val="20"/>
          <w:szCs w:val="20"/>
        </w:rPr>
        <w:t xml:space="preserve"> when the HARQ process number is an even number. </w:t>
      </w:r>
    </w:p>
    <w:p w:rsidR="00C77B8F" w:rsidRDefault="00F81FA5">
      <w:pPr>
        <w:ind w:left="-1"/>
        <w:jc w:val="both"/>
        <w:rPr>
          <w:rFonts w:ascii="Times New Roman" w:hAnsi="Times New Roman"/>
          <w:b/>
          <w:bCs/>
          <w:i/>
          <w:iCs/>
          <w:sz w:val="20"/>
          <w:szCs w:val="20"/>
        </w:rPr>
      </w:pPr>
      <w:r>
        <w:rPr>
          <w:rFonts w:ascii="Times New Roman" w:hAnsi="Times New Roman"/>
          <w:b/>
          <w:bCs/>
          <w:i/>
          <w:iCs/>
          <w:sz w:val="20"/>
          <w:szCs w:val="20"/>
        </w:rPr>
        <w:t>Proposal</w:t>
      </w:r>
      <w:r>
        <w:rPr>
          <w:rFonts w:ascii="Times New Roman" w:hAnsi="Times New Roman" w:hint="eastAsia"/>
          <w:b/>
          <w:bCs/>
          <w:i/>
          <w:iCs/>
          <w:sz w:val="20"/>
          <w:szCs w:val="20"/>
        </w:rPr>
        <w:t xml:space="preserve"> </w:t>
      </w:r>
      <w:r>
        <w:rPr>
          <w:rFonts w:ascii="Times New Roman" w:hAnsi="Times New Roman"/>
          <w:b/>
          <w:bCs/>
          <w:i/>
          <w:iCs/>
          <w:sz w:val="20"/>
          <w:szCs w:val="20"/>
        </w:rPr>
        <w:t>2</w:t>
      </w:r>
      <w:r>
        <w:rPr>
          <w:rFonts w:ascii="Times New Roman" w:hAnsi="Times New Roman" w:hint="eastAsia"/>
          <w:b/>
          <w:bCs/>
          <w:i/>
          <w:iCs/>
          <w:sz w:val="20"/>
          <w:szCs w:val="20"/>
        </w:rPr>
        <w:t xml:space="preserve">: </w:t>
      </w:r>
      <w:r>
        <w:rPr>
          <w:rFonts w:ascii="Times New Roman" w:hAnsi="Times New Roman"/>
          <w:b/>
          <w:bCs/>
          <w:i/>
          <w:iCs/>
          <w:sz w:val="20"/>
          <w:szCs w:val="20"/>
        </w:rPr>
        <w:t xml:space="preserve">Both explicit and implicit methods for determining subframes type </w:t>
      </w:r>
      <w:r w:rsidR="00137FC7">
        <w:rPr>
          <w:rFonts w:ascii="Times New Roman" w:hAnsi="Times New Roman"/>
          <w:b/>
          <w:bCs/>
          <w:i/>
          <w:iCs/>
          <w:sz w:val="20"/>
          <w:szCs w:val="20"/>
        </w:rPr>
        <w:t xml:space="preserve">can </w:t>
      </w:r>
      <w:r>
        <w:rPr>
          <w:rFonts w:ascii="Times New Roman" w:hAnsi="Times New Roman"/>
          <w:b/>
          <w:bCs/>
          <w:i/>
          <w:iCs/>
          <w:sz w:val="20"/>
          <w:szCs w:val="20"/>
        </w:rPr>
        <w:t>be considered when the value of PDSCH scheduling delay is 7.</w:t>
      </w:r>
    </w:p>
    <w:p w:rsidR="00C77B8F" w:rsidRDefault="00F81FA5">
      <w:pPr>
        <w:pStyle w:val="2"/>
      </w:pPr>
      <w:r>
        <w:rPr>
          <w:rFonts w:hint="eastAsia"/>
        </w:rPr>
        <w:t>Details of signaling</w:t>
      </w:r>
    </w:p>
    <w:p w:rsidR="00C77B8F" w:rsidRDefault="00F81FA5">
      <w:pPr>
        <w:spacing w:beforeLines="50" w:before="120" w:after="120"/>
        <w:jc w:val="both"/>
        <w:rPr>
          <w:rFonts w:ascii="Times New Roman" w:hAnsi="Times New Roman"/>
          <w:sz w:val="20"/>
          <w:szCs w:val="20"/>
        </w:rPr>
      </w:pPr>
      <w:r>
        <w:rPr>
          <w:rFonts w:ascii="Times New Roman" w:hAnsi="Times New Roman"/>
          <w:sz w:val="20"/>
          <w:szCs w:val="20"/>
        </w:rPr>
        <w:t xml:space="preserve">During Rel-16 TEI discussion, </w:t>
      </w:r>
      <w:r>
        <w:rPr>
          <w:rFonts w:ascii="Times New Roman" w:hAnsi="Times New Roman" w:hint="eastAsia"/>
          <w:sz w:val="20"/>
          <w:szCs w:val="20"/>
        </w:rPr>
        <w:t xml:space="preserve">two implementation options </w:t>
      </w:r>
      <w:r>
        <w:rPr>
          <w:rFonts w:ascii="Times New Roman" w:hAnsi="Times New Roman"/>
          <w:sz w:val="20"/>
          <w:szCs w:val="20"/>
        </w:rPr>
        <w:t xml:space="preserve">were proposed </w:t>
      </w:r>
      <w:r>
        <w:rPr>
          <w:rFonts w:ascii="Times New Roman" w:hAnsi="Times New Roman" w:hint="eastAsia"/>
          <w:sz w:val="20"/>
          <w:szCs w:val="20"/>
        </w:rPr>
        <w:t>to indicate the value of PDSCH scheduling</w:t>
      </w:r>
      <w:r>
        <w:rPr>
          <w:rFonts w:ascii="Times New Roman" w:hAnsi="Times New Roman"/>
          <w:sz w:val="20"/>
          <w:szCs w:val="20"/>
        </w:rPr>
        <w:t xml:space="preserve"> delay</w:t>
      </w:r>
      <w:r>
        <w:rPr>
          <w:rFonts w:ascii="Times New Roman" w:hAnsi="Times New Roman" w:hint="eastAsia"/>
          <w:sz w:val="20"/>
          <w:szCs w:val="20"/>
        </w:rPr>
        <w:t xml:space="preserve"> [2]. </w:t>
      </w:r>
      <w:r>
        <w:rPr>
          <w:rFonts w:ascii="Times New Roman" w:hAnsi="Times New Roman"/>
          <w:sz w:val="20"/>
          <w:szCs w:val="20"/>
        </w:rPr>
        <w:t>T</w:t>
      </w:r>
      <w:r>
        <w:rPr>
          <w:rFonts w:ascii="Times New Roman" w:hAnsi="Times New Roman" w:hint="eastAsia"/>
          <w:sz w:val="20"/>
          <w:szCs w:val="20"/>
        </w:rPr>
        <w:t xml:space="preserve">he value of supported HARQ-ACK delay of implementation option 1 is shown in Table 1. </w:t>
      </w:r>
    </w:p>
    <w:p w:rsidR="00C77B8F" w:rsidRDefault="00F81FA5">
      <w:pPr>
        <w:spacing w:beforeLines="50" w:before="120" w:after="120"/>
        <w:jc w:val="center"/>
        <w:rPr>
          <w:rFonts w:ascii="Times New Roman" w:hAnsi="Times New Roman"/>
          <w:sz w:val="20"/>
          <w:szCs w:val="20"/>
        </w:rPr>
      </w:pPr>
      <w:r>
        <w:rPr>
          <w:rFonts w:ascii="Times New Roman" w:hAnsi="Times New Roman"/>
          <w:sz w:val="20"/>
          <w:szCs w:val="20"/>
        </w:rPr>
        <w:t>Table 1 The value of supported HARQ-ACK delay of implementation option 1</w:t>
      </w:r>
    </w:p>
    <w:tbl>
      <w:tblPr>
        <w:tblW w:w="4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4"/>
        <w:gridCol w:w="2137"/>
      </w:tblGrid>
      <w:tr w:rsidR="00C77B8F">
        <w:trPr>
          <w:cantSplit/>
          <w:jc w:val="center"/>
        </w:trPr>
        <w:tc>
          <w:tcPr>
            <w:tcW w:w="1954" w:type="dxa"/>
            <w:shd w:val="clear" w:color="auto" w:fill="E0E0E0"/>
            <w:vAlign w:val="center"/>
          </w:tcPr>
          <w:p w:rsidR="00C77B8F" w:rsidRDefault="00F81FA5">
            <w:pPr>
              <w:pStyle w:val="TAH"/>
            </w:pPr>
            <w:r>
              <w:rPr>
                <w:lang w:eastAsia="zh-CN"/>
              </w:rPr>
              <w:t>'HARQ-ID’ field in DCI</w:t>
            </w:r>
          </w:p>
        </w:tc>
        <w:tc>
          <w:tcPr>
            <w:tcW w:w="2137" w:type="dxa"/>
            <w:shd w:val="clear" w:color="auto" w:fill="E0E0E0"/>
            <w:vAlign w:val="center"/>
          </w:tcPr>
          <w:p w:rsidR="00C77B8F" w:rsidRDefault="00F81FA5">
            <w:pPr>
              <w:pStyle w:val="TAH"/>
            </w:pPr>
            <w:r>
              <w:t>HARQ-ACK delay</w:t>
            </w:r>
          </w:p>
        </w:tc>
      </w:tr>
      <w:tr w:rsidR="00C77B8F">
        <w:trPr>
          <w:cantSplit/>
          <w:jc w:val="center"/>
        </w:trPr>
        <w:tc>
          <w:tcPr>
            <w:tcW w:w="1954" w:type="dxa"/>
            <w:vAlign w:val="center"/>
          </w:tcPr>
          <w:p w:rsidR="00C77B8F" w:rsidRDefault="00F81FA5">
            <w:pPr>
              <w:pStyle w:val="TAC"/>
            </w:pPr>
            <w:r>
              <w:t>10</w:t>
            </w:r>
          </w:p>
        </w:tc>
        <w:tc>
          <w:tcPr>
            <w:tcW w:w="2137" w:type="dxa"/>
            <w:vAlign w:val="center"/>
          </w:tcPr>
          <w:p w:rsidR="00C77B8F" w:rsidRDefault="00F81FA5">
            <w:pPr>
              <w:pStyle w:val="TAC"/>
            </w:pPr>
            <w:r>
              <w:t>4</w:t>
            </w:r>
          </w:p>
        </w:tc>
      </w:tr>
      <w:tr w:rsidR="00C77B8F">
        <w:trPr>
          <w:cantSplit/>
          <w:jc w:val="center"/>
        </w:trPr>
        <w:tc>
          <w:tcPr>
            <w:tcW w:w="1954" w:type="dxa"/>
            <w:vAlign w:val="center"/>
          </w:tcPr>
          <w:p w:rsidR="00C77B8F" w:rsidRDefault="00F81FA5">
            <w:pPr>
              <w:pStyle w:val="TAC"/>
            </w:pPr>
            <w:r>
              <w:t>11</w:t>
            </w:r>
          </w:p>
        </w:tc>
        <w:tc>
          <w:tcPr>
            <w:tcW w:w="2137" w:type="dxa"/>
            <w:vAlign w:val="center"/>
          </w:tcPr>
          <w:p w:rsidR="00C77B8F" w:rsidRDefault="00F81FA5">
            <w:pPr>
              <w:pStyle w:val="TAC"/>
            </w:pPr>
            <w:r>
              <w:t>5</w:t>
            </w:r>
          </w:p>
        </w:tc>
      </w:tr>
      <w:tr w:rsidR="00C77B8F">
        <w:trPr>
          <w:cantSplit/>
          <w:jc w:val="center"/>
        </w:trPr>
        <w:tc>
          <w:tcPr>
            <w:tcW w:w="1954" w:type="dxa"/>
            <w:vAlign w:val="center"/>
          </w:tcPr>
          <w:p w:rsidR="00C77B8F" w:rsidRDefault="00F81FA5">
            <w:pPr>
              <w:pStyle w:val="TAC"/>
            </w:pPr>
            <w:r>
              <w:t>12</w:t>
            </w:r>
          </w:p>
        </w:tc>
        <w:tc>
          <w:tcPr>
            <w:tcW w:w="2137" w:type="dxa"/>
            <w:vAlign w:val="center"/>
          </w:tcPr>
          <w:p w:rsidR="00C77B8F" w:rsidRDefault="00F81FA5">
            <w:pPr>
              <w:pStyle w:val="TAC"/>
            </w:pPr>
            <w:r>
              <w:t>7</w:t>
            </w:r>
          </w:p>
        </w:tc>
      </w:tr>
      <w:tr w:rsidR="00C77B8F">
        <w:trPr>
          <w:cantSplit/>
          <w:jc w:val="center"/>
        </w:trPr>
        <w:tc>
          <w:tcPr>
            <w:tcW w:w="1954" w:type="dxa"/>
            <w:vAlign w:val="center"/>
          </w:tcPr>
          <w:p w:rsidR="00C77B8F" w:rsidRDefault="00F81FA5">
            <w:pPr>
              <w:pStyle w:val="TAC"/>
            </w:pPr>
            <w:r>
              <w:t>13</w:t>
            </w:r>
          </w:p>
        </w:tc>
        <w:tc>
          <w:tcPr>
            <w:tcW w:w="2137" w:type="dxa"/>
            <w:vAlign w:val="center"/>
          </w:tcPr>
          <w:p w:rsidR="00C77B8F" w:rsidRDefault="00F81FA5">
            <w:pPr>
              <w:pStyle w:val="TAC"/>
            </w:pPr>
            <w:r>
              <w:t>9</w:t>
            </w:r>
          </w:p>
        </w:tc>
      </w:tr>
      <w:tr w:rsidR="00C77B8F">
        <w:trPr>
          <w:cantSplit/>
          <w:jc w:val="center"/>
        </w:trPr>
        <w:tc>
          <w:tcPr>
            <w:tcW w:w="1954" w:type="dxa"/>
            <w:vAlign w:val="center"/>
          </w:tcPr>
          <w:p w:rsidR="00C77B8F" w:rsidRDefault="00F81FA5">
            <w:pPr>
              <w:pStyle w:val="TAC"/>
            </w:pPr>
            <w:r>
              <w:t>14</w:t>
            </w:r>
          </w:p>
        </w:tc>
        <w:tc>
          <w:tcPr>
            <w:tcW w:w="2137" w:type="dxa"/>
            <w:vAlign w:val="center"/>
          </w:tcPr>
          <w:p w:rsidR="00C77B8F" w:rsidRDefault="00F81FA5">
            <w:pPr>
              <w:pStyle w:val="TAC"/>
            </w:pPr>
            <w:r>
              <w:t>11</w:t>
            </w:r>
          </w:p>
        </w:tc>
      </w:tr>
      <w:tr w:rsidR="00C77B8F">
        <w:trPr>
          <w:cantSplit/>
          <w:jc w:val="center"/>
        </w:trPr>
        <w:tc>
          <w:tcPr>
            <w:tcW w:w="1954" w:type="dxa"/>
            <w:vAlign w:val="center"/>
          </w:tcPr>
          <w:p w:rsidR="00C77B8F" w:rsidRDefault="00F81FA5">
            <w:pPr>
              <w:pStyle w:val="TAC"/>
            </w:pPr>
            <w:r>
              <w:t>15</w:t>
            </w:r>
          </w:p>
        </w:tc>
        <w:tc>
          <w:tcPr>
            <w:tcW w:w="2137" w:type="dxa"/>
            <w:vAlign w:val="center"/>
          </w:tcPr>
          <w:p w:rsidR="00C77B8F" w:rsidRDefault="00F81FA5">
            <w:pPr>
              <w:pStyle w:val="TAC"/>
            </w:pPr>
            <w:r>
              <w:t>13</w:t>
            </w:r>
          </w:p>
        </w:tc>
      </w:tr>
    </w:tbl>
    <w:p w:rsidR="00C77B8F" w:rsidRDefault="00F81FA5">
      <w:pPr>
        <w:spacing w:beforeLines="50" w:before="120" w:after="120"/>
        <w:jc w:val="both"/>
        <w:rPr>
          <w:rFonts w:ascii="Times New Roman" w:hAnsi="Times New Roman"/>
          <w:sz w:val="20"/>
          <w:szCs w:val="20"/>
        </w:rPr>
      </w:pPr>
      <w:r>
        <w:rPr>
          <w:rFonts w:ascii="Times New Roman" w:hAnsi="Times New Roman" w:hint="eastAsia"/>
          <w:sz w:val="20"/>
          <w:szCs w:val="20"/>
        </w:rPr>
        <w:t>Fr</w:t>
      </w:r>
      <w:r>
        <w:rPr>
          <w:rFonts w:ascii="Times New Roman" w:hAnsi="Times New Roman"/>
          <w:sz w:val="20"/>
          <w:szCs w:val="20"/>
        </w:rPr>
        <w:t>o</w:t>
      </w:r>
      <w:r>
        <w:rPr>
          <w:rFonts w:ascii="Times New Roman" w:hAnsi="Times New Roman" w:hint="eastAsia"/>
          <w:sz w:val="20"/>
          <w:szCs w:val="20"/>
        </w:rPr>
        <w:t>m Table 1, we can conclude that the value of supported HARQ-ACK delay is {4,</w:t>
      </w:r>
      <w:r>
        <w:rPr>
          <w:rFonts w:ascii="Times New Roman" w:hAnsi="Times New Roman"/>
          <w:sz w:val="20"/>
          <w:szCs w:val="20"/>
        </w:rPr>
        <w:t xml:space="preserve"> </w:t>
      </w:r>
      <w:r>
        <w:rPr>
          <w:rFonts w:ascii="Times New Roman" w:hAnsi="Times New Roman" w:hint="eastAsia"/>
          <w:sz w:val="20"/>
          <w:szCs w:val="20"/>
        </w:rPr>
        <w:t>5,</w:t>
      </w:r>
      <w:r>
        <w:rPr>
          <w:rFonts w:ascii="Times New Roman" w:hAnsi="Times New Roman"/>
          <w:sz w:val="20"/>
          <w:szCs w:val="20"/>
        </w:rPr>
        <w:t xml:space="preserve"> </w:t>
      </w:r>
      <w:r>
        <w:rPr>
          <w:rFonts w:ascii="Times New Roman" w:hAnsi="Times New Roman" w:hint="eastAsia"/>
          <w:sz w:val="20"/>
          <w:szCs w:val="20"/>
        </w:rPr>
        <w:t>7,</w:t>
      </w:r>
      <w:r>
        <w:rPr>
          <w:rFonts w:ascii="Times New Roman" w:hAnsi="Times New Roman"/>
          <w:sz w:val="20"/>
          <w:szCs w:val="20"/>
        </w:rPr>
        <w:t xml:space="preserve"> </w:t>
      </w:r>
      <w:r>
        <w:rPr>
          <w:rFonts w:ascii="Times New Roman" w:hAnsi="Times New Roman" w:hint="eastAsia"/>
          <w:sz w:val="20"/>
          <w:szCs w:val="20"/>
        </w:rPr>
        <w:t>9,</w:t>
      </w:r>
      <w:r>
        <w:rPr>
          <w:rFonts w:ascii="Times New Roman" w:hAnsi="Times New Roman"/>
          <w:sz w:val="20"/>
          <w:szCs w:val="20"/>
        </w:rPr>
        <w:t xml:space="preserve"> </w:t>
      </w:r>
      <w:r>
        <w:rPr>
          <w:rFonts w:ascii="Times New Roman" w:hAnsi="Times New Roman" w:hint="eastAsia"/>
          <w:sz w:val="20"/>
          <w:szCs w:val="20"/>
        </w:rPr>
        <w:t>11,</w:t>
      </w:r>
      <w:r>
        <w:rPr>
          <w:rFonts w:ascii="Times New Roman" w:hAnsi="Times New Roman"/>
          <w:sz w:val="20"/>
          <w:szCs w:val="20"/>
        </w:rPr>
        <w:t xml:space="preserve"> </w:t>
      </w:r>
      <w:r>
        <w:rPr>
          <w:rFonts w:ascii="Times New Roman" w:hAnsi="Times New Roman" w:hint="eastAsia"/>
          <w:sz w:val="20"/>
          <w:szCs w:val="20"/>
        </w:rPr>
        <w:t xml:space="preserve">13} </w:t>
      </w:r>
      <w:r>
        <w:rPr>
          <w:rFonts w:ascii="Times New Roman" w:hAnsi="Times New Roman"/>
          <w:sz w:val="20"/>
          <w:szCs w:val="20"/>
        </w:rPr>
        <w:t xml:space="preserve">regardless of </w:t>
      </w:r>
      <w:r>
        <w:rPr>
          <w:rFonts w:ascii="Times New Roman" w:hAnsi="Times New Roman" w:hint="eastAsia"/>
          <w:sz w:val="20"/>
          <w:szCs w:val="20"/>
        </w:rPr>
        <w:t>whether the PDSCH scheduling</w:t>
      </w:r>
      <w:r>
        <w:rPr>
          <w:rFonts w:ascii="Times New Roman" w:hAnsi="Times New Roman"/>
          <w:sz w:val="20"/>
          <w:szCs w:val="20"/>
        </w:rPr>
        <w:t xml:space="preserve"> delay </w:t>
      </w:r>
      <w:r>
        <w:rPr>
          <w:rFonts w:ascii="Times New Roman" w:hAnsi="Times New Roman" w:hint="eastAsia"/>
          <w:sz w:val="20"/>
          <w:szCs w:val="20"/>
        </w:rPr>
        <w:t xml:space="preserve">value is 2 or 7. For PDSCH with the PDSCH scheduling </w:t>
      </w:r>
      <w:r>
        <w:rPr>
          <w:rFonts w:ascii="Times New Roman" w:hAnsi="Times New Roman"/>
          <w:sz w:val="20"/>
          <w:szCs w:val="20"/>
        </w:rPr>
        <w:t xml:space="preserve">delay </w:t>
      </w:r>
      <w:r>
        <w:rPr>
          <w:rFonts w:ascii="Times New Roman" w:hAnsi="Times New Roman" w:hint="eastAsia"/>
          <w:sz w:val="20"/>
          <w:szCs w:val="20"/>
        </w:rPr>
        <w:t>value of 2, the value of supported HARQ-ACK delay should be {4,</w:t>
      </w:r>
      <w:r>
        <w:rPr>
          <w:rFonts w:ascii="Times New Roman" w:hAnsi="Times New Roman"/>
          <w:sz w:val="20"/>
          <w:szCs w:val="20"/>
        </w:rPr>
        <w:t xml:space="preserve"> </w:t>
      </w:r>
      <w:r>
        <w:rPr>
          <w:rFonts w:ascii="Times New Roman" w:hAnsi="Times New Roman" w:hint="eastAsia"/>
          <w:sz w:val="20"/>
          <w:szCs w:val="20"/>
        </w:rPr>
        <w:t>5,</w:t>
      </w:r>
      <w:r>
        <w:rPr>
          <w:rFonts w:ascii="Times New Roman" w:hAnsi="Times New Roman"/>
          <w:sz w:val="20"/>
          <w:szCs w:val="20"/>
        </w:rPr>
        <w:t xml:space="preserve"> </w:t>
      </w:r>
      <w:r>
        <w:rPr>
          <w:rFonts w:ascii="Times New Roman" w:hAnsi="Times New Roman" w:hint="eastAsia"/>
          <w:sz w:val="20"/>
          <w:szCs w:val="20"/>
        </w:rPr>
        <w:t>6,</w:t>
      </w:r>
      <w:r>
        <w:rPr>
          <w:rFonts w:ascii="Times New Roman" w:hAnsi="Times New Roman"/>
          <w:sz w:val="20"/>
          <w:szCs w:val="20"/>
        </w:rPr>
        <w:t xml:space="preserve"> </w:t>
      </w:r>
      <w:r>
        <w:rPr>
          <w:rFonts w:ascii="Times New Roman" w:hAnsi="Times New Roman" w:hint="eastAsia"/>
          <w:sz w:val="20"/>
          <w:szCs w:val="20"/>
        </w:rPr>
        <w:t>7,</w:t>
      </w:r>
      <w:r>
        <w:rPr>
          <w:rFonts w:ascii="Times New Roman" w:hAnsi="Times New Roman"/>
          <w:sz w:val="20"/>
          <w:szCs w:val="20"/>
        </w:rPr>
        <w:t xml:space="preserve"> </w:t>
      </w:r>
      <w:r>
        <w:rPr>
          <w:rFonts w:ascii="Times New Roman" w:hAnsi="Times New Roman" w:hint="eastAsia"/>
          <w:sz w:val="20"/>
          <w:szCs w:val="20"/>
        </w:rPr>
        <w:t>8,</w:t>
      </w:r>
      <w:r>
        <w:rPr>
          <w:rFonts w:ascii="Times New Roman" w:hAnsi="Times New Roman"/>
          <w:sz w:val="20"/>
          <w:szCs w:val="20"/>
        </w:rPr>
        <w:t xml:space="preserve"> </w:t>
      </w:r>
      <w:r>
        <w:rPr>
          <w:rFonts w:ascii="Times New Roman" w:hAnsi="Times New Roman" w:hint="eastAsia"/>
          <w:sz w:val="20"/>
          <w:szCs w:val="20"/>
        </w:rPr>
        <w:t>9,</w:t>
      </w:r>
      <w:r>
        <w:rPr>
          <w:rFonts w:ascii="Times New Roman" w:hAnsi="Times New Roman"/>
          <w:sz w:val="20"/>
          <w:szCs w:val="20"/>
        </w:rPr>
        <w:t xml:space="preserve"> </w:t>
      </w:r>
      <w:r>
        <w:rPr>
          <w:rFonts w:ascii="Times New Roman" w:hAnsi="Times New Roman" w:hint="eastAsia"/>
          <w:sz w:val="20"/>
          <w:szCs w:val="20"/>
        </w:rPr>
        <w:t>10,</w:t>
      </w:r>
      <w:r>
        <w:rPr>
          <w:rFonts w:ascii="Times New Roman" w:hAnsi="Times New Roman"/>
          <w:sz w:val="20"/>
          <w:szCs w:val="20"/>
        </w:rPr>
        <w:t xml:space="preserve"> </w:t>
      </w:r>
      <w:r>
        <w:rPr>
          <w:rFonts w:ascii="Times New Roman" w:hAnsi="Times New Roman" w:hint="eastAsia"/>
          <w:sz w:val="20"/>
          <w:szCs w:val="20"/>
        </w:rPr>
        <w:t xml:space="preserve">11} to ensure that the number of supported bundling pattern is same as legacy UE. </w:t>
      </w:r>
      <w:r>
        <w:rPr>
          <w:rFonts w:ascii="Times New Roman" w:hAnsi="Times New Roman"/>
          <w:sz w:val="20"/>
          <w:szCs w:val="20"/>
        </w:rPr>
        <w:t>Otherwise, some bundling pattern</w:t>
      </w:r>
      <w:r>
        <w:rPr>
          <w:rFonts w:ascii="Times New Roman" w:hAnsi="Times New Roman" w:hint="eastAsia"/>
          <w:sz w:val="20"/>
          <w:szCs w:val="20"/>
        </w:rPr>
        <w:t>s</w:t>
      </w:r>
      <w:r>
        <w:rPr>
          <w:rFonts w:ascii="Times New Roman" w:hAnsi="Times New Roman"/>
          <w:sz w:val="20"/>
          <w:szCs w:val="20"/>
        </w:rPr>
        <w:t xml:space="preserve"> cannot be supported. </w:t>
      </w:r>
      <w:r>
        <w:rPr>
          <w:rFonts w:ascii="Times New Roman" w:hAnsi="Times New Roman" w:hint="eastAsia"/>
          <w:sz w:val="20"/>
          <w:szCs w:val="20"/>
        </w:rPr>
        <w:t xml:space="preserve">For example, in implementation option 1, the bundling pattern shown in Figure 3 cannot be supported. For PDSCH with PDSCH scheduling </w:t>
      </w:r>
      <w:r>
        <w:rPr>
          <w:rFonts w:ascii="Times New Roman" w:hAnsi="Times New Roman"/>
          <w:sz w:val="20"/>
          <w:szCs w:val="20"/>
        </w:rPr>
        <w:t xml:space="preserve">delay </w:t>
      </w:r>
      <w:r>
        <w:rPr>
          <w:rFonts w:ascii="Times New Roman" w:hAnsi="Times New Roman" w:hint="eastAsia"/>
          <w:sz w:val="20"/>
          <w:szCs w:val="20"/>
        </w:rPr>
        <w:t xml:space="preserve">value of 7, the value of HARQ-ACK delay </w:t>
      </w:r>
      <w:r>
        <w:rPr>
          <w:rFonts w:ascii="Times New Roman" w:hAnsi="Times New Roman"/>
          <w:sz w:val="20"/>
          <w:szCs w:val="20"/>
        </w:rPr>
        <w:t xml:space="preserve">should </w:t>
      </w:r>
      <w:r>
        <w:rPr>
          <w:rFonts w:ascii="Times New Roman" w:hAnsi="Times New Roman" w:hint="eastAsia"/>
          <w:sz w:val="20"/>
          <w:szCs w:val="20"/>
        </w:rPr>
        <w:t>contain</w:t>
      </w:r>
      <w:r>
        <w:rPr>
          <w:rFonts w:ascii="Times New Roman" w:hAnsi="Times New Roman"/>
          <w:sz w:val="20"/>
          <w:szCs w:val="20"/>
        </w:rPr>
        <w:t xml:space="preserve"> </w:t>
      </w:r>
      <w:r>
        <w:rPr>
          <w:rFonts w:ascii="Times New Roman" w:hAnsi="Times New Roman" w:hint="eastAsia"/>
          <w:sz w:val="20"/>
          <w:szCs w:val="20"/>
        </w:rPr>
        <w:t>{12, 13} if the bundling pattern in Figure 2 needs to be supported. But the HARQ-ACK delay of implementation option 1 only contains 13</w:t>
      </w:r>
      <w:r>
        <w:rPr>
          <w:rFonts w:ascii="Times New Roman" w:hAnsi="Times New Roman"/>
          <w:sz w:val="20"/>
          <w:szCs w:val="20"/>
        </w:rPr>
        <w:t>.</w:t>
      </w:r>
    </w:p>
    <w:p w:rsidR="00C77B8F" w:rsidRDefault="00F81FA5">
      <w:pPr>
        <w:jc w:val="center"/>
      </w:pPr>
      <w:r>
        <w:rPr>
          <w:noProof/>
        </w:rPr>
        <w:drawing>
          <wp:inline distT="0" distB="0" distL="114300" distR="114300">
            <wp:extent cx="3170555" cy="1080135"/>
            <wp:effectExtent l="0" t="0" r="10795" b="5715"/>
            <wp:docPr id="3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图片 12"/>
                    <pic:cNvPicPr>
                      <a:picLocks noChangeAspect="1"/>
                    </pic:cNvPicPr>
                  </pic:nvPicPr>
                  <pic:blipFill>
                    <a:blip r:embed="rId10"/>
                    <a:stretch>
                      <a:fillRect/>
                    </a:stretch>
                  </pic:blipFill>
                  <pic:spPr>
                    <a:xfrm>
                      <a:off x="0" y="0"/>
                      <a:ext cx="3170555" cy="1080135"/>
                    </a:xfrm>
                    <a:prstGeom prst="rect">
                      <a:avLst/>
                    </a:prstGeom>
                    <a:noFill/>
                    <a:ln>
                      <a:noFill/>
                    </a:ln>
                  </pic:spPr>
                </pic:pic>
              </a:graphicData>
            </a:graphic>
          </wp:inline>
        </w:drawing>
      </w:r>
    </w:p>
    <w:p w:rsidR="00C77B8F" w:rsidRDefault="00F81FA5">
      <w:pPr>
        <w:jc w:val="center"/>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rPr>
        <w:t>2</w:t>
      </w:r>
      <w:r>
        <w:rPr>
          <w:rFonts w:ascii="Times New Roman" w:hAnsi="Times New Roman"/>
          <w:sz w:val="20"/>
          <w:szCs w:val="20"/>
        </w:rPr>
        <w:t xml:space="preserve"> </w:t>
      </w:r>
      <w:r>
        <w:rPr>
          <w:rFonts w:ascii="Times New Roman" w:hAnsi="Times New Roman" w:hint="eastAsia"/>
          <w:sz w:val="20"/>
          <w:szCs w:val="20"/>
        </w:rPr>
        <w:t>Example of t</w:t>
      </w:r>
      <w:r>
        <w:rPr>
          <w:rFonts w:ascii="Times New Roman" w:hAnsi="Times New Roman"/>
          <w:sz w:val="20"/>
          <w:szCs w:val="20"/>
        </w:rPr>
        <w:t>he bundling window</w:t>
      </w:r>
    </w:p>
    <w:p w:rsidR="00C77B8F" w:rsidRDefault="00F81FA5">
      <w:pPr>
        <w:jc w:val="both"/>
        <w:rPr>
          <w:rFonts w:ascii="Times New Roman" w:hAnsi="Times New Roman"/>
          <w:sz w:val="20"/>
          <w:szCs w:val="20"/>
        </w:rPr>
      </w:pPr>
      <w:r>
        <w:rPr>
          <w:rFonts w:ascii="Times New Roman" w:hAnsi="Times New Roman" w:hint="eastAsia"/>
          <w:sz w:val="20"/>
          <w:szCs w:val="20"/>
        </w:rPr>
        <w:t>In implementation option 2, one additional bit in DCI is used to indicate PDSCH scheduling delay and t</w:t>
      </w:r>
      <w:r>
        <w:rPr>
          <w:rFonts w:ascii="Times New Roman" w:hAnsi="Times New Roman"/>
          <w:sz w:val="20"/>
          <w:szCs w:val="20"/>
        </w:rPr>
        <w:t xml:space="preserve">he value of supported HARQ-ACK delay is </w:t>
      </w:r>
      <w:r>
        <w:rPr>
          <w:rFonts w:ascii="Times New Roman" w:hAnsi="Times New Roman" w:hint="eastAsia"/>
          <w:sz w:val="20"/>
          <w:szCs w:val="20"/>
        </w:rPr>
        <w:t>{4,</w:t>
      </w:r>
      <w:r>
        <w:rPr>
          <w:rFonts w:ascii="Times New Roman" w:hAnsi="Times New Roman"/>
          <w:sz w:val="20"/>
          <w:szCs w:val="20"/>
        </w:rPr>
        <w:t xml:space="preserve"> </w:t>
      </w:r>
      <w:r>
        <w:rPr>
          <w:rFonts w:ascii="Times New Roman" w:hAnsi="Times New Roman" w:hint="eastAsia"/>
          <w:sz w:val="20"/>
          <w:szCs w:val="20"/>
        </w:rPr>
        <w:t>5,</w:t>
      </w:r>
      <w:r>
        <w:rPr>
          <w:rFonts w:ascii="Times New Roman" w:hAnsi="Times New Roman"/>
          <w:sz w:val="20"/>
          <w:szCs w:val="20"/>
        </w:rPr>
        <w:t xml:space="preserve"> </w:t>
      </w:r>
      <w:r>
        <w:rPr>
          <w:rFonts w:ascii="Times New Roman" w:hAnsi="Times New Roman" w:hint="eastAsia"/>
          <w:sz w:val="20"/>
          <w:szCs w:val="20"/>
        </w:rPr>
        <w:t>6,</w:t>
      </w:r>
      <w:r>
        <w:rPr>
          <w:rFonts w:ascii="Times New Roman" w:hAnsi="Times New Roman"/>
          <w:sz w:val="20"/>
          <w:szCs w:val="20"/>
        </w:rPr>
        <w:t xml:space="preserve"> </w:t>
      </w:r>
      <w:r>
        <w:rPr>
          <w:rFonts w:ascii="Times New Roman" w:hAnsi="Times New Roman" w:hint="eastAsia"/>
          <w:sz w:val="20"/>
          <w:szCs w:val="20"/>
        </w:rPr>
        <w:t>7,</w:t>
      </w:r>
      <w:r>
        <w:rPr>
          <w:rFonts w:ascii="Times New Roman" w:hAnsi="Times New Roman"/>
          <w:sz w:val="20"/>
          <w:szCs w:val="20"/>
        </w:rPr>
        <w:t xml:space="preserve"> </w:t>
      </w:r>
      <w:r>
        <w:rPr>
          <w:rFonts w:ascii="Times New Roman" w:hAnsi="Times New Roman" w:hint="eastAsia"/>
          <w:sz w:val="20"/>
          <w:szCs w:val="20"/>
        </w:rPr>
        <w:t>9,</w:t>
      </w:r>
      <w:r>
        <w:rPr>
          <w:rFonts w:ascii="Times New Roman" w:hAnsi="Times New Roman"/>
          <w:sz w:val="20"/>
          <w:szCs w:val="20"/>
        </w:rPr>
        <w:t xml:space="preserve"> </w:t>
      </w:r>
      <w:r>
        <w:rPr>
          <w:rFonts w:ascii="Times New Roman" w:hAnsi="Times New Roman" w:hint="eastAsia"/>
          <w:sz w:val="20"/>
          <w:szCs w:val="20"/>
        </w:rPr>
        <w:t>11,</w:t>
      </w:r>
      <w:r>
        <w:rPr>
          <w:rFonts w:ascii="Times New Roman" w:hAnsi="Times New Roman"/>
          <w:sz w:val="20"/>
          <w:szCs w:val="20"/>
        </w:rPr>
        <w:t xml:space="preserve"> </w:t>
      </w:r>
      <w:r>
        <w:rPr>
          <w:rFonts w:ascii="Times New Roman" w:hAnsi="Times New Roman" w:hint="eastAsia"/>
          <w:sz w:val="20"/>
          <w:szCs w:val="20"/>
        </w:rPr>
        <w:t>13,</w:t>
      </w:r>
      <w:r>
        <w:rPr>
          <w:rFonts w:ascii="Times New Roman" w:hAnsi="Times New Roman"/>
          <w:sz w:val="20"/>
          <w:szCs w:val="20"/>
        </w:rPr>
        <w:t xml:space="preserve"> </w:t>
      </w:r>
      <w:r>
        <w:rPr>
          <w:rFonts w:ascii="Times New Roman" w:hAnsi="Times New Roman" w:hint="eastAsia"/>
          <w:sz w:val="20"/>
          <w:szCs w:val="20"/>
        </w:rPr>
        <w:t xml:space="preserve">15}. Although the number of supported HARQ-ACK delay value is more than implementation option 1, there are also some bundling patterns </w:t>
      </w:r>
      <w:r>
        <w:rPr>
          <w:rFonts w:ascii="Times New Roman" w:hAnsi="Times New Roman"/>
          <w:sz w:val="20"/>
          <w:szCs w:val="20"/>
        </w:rPr>
        <w:t xml:space="preserve">that </w:t>
      </w:r>
      <w:r>
        <w:rPr>
          <w:rFonts w:ascii="Times New Roman" w:hAnsi="Times New Roman" w:hint="eastAsia"/>
          <w:sz w:val="20"/>
          <w:szCs w:val="20"/>
        </w:rPr>
        <w:t xml:space="preserve">cannot be supported, e.g. the bundling pattern which is shown in Figure 2. </w:t>
      </w:r>
      <w:r>
        <w:rPr>
          <w:rFonts w:ascii="Times New Roman" w:hAnsi="Times New Roman"/>
          <w:sz w:val="20"/>
          <w:szCs w:val="20"/>
        </w:rPr>
        <w:t xml:space="preserve"> </w:t>
      </w:r>
    </w:p>
    <w:p w:rsidR="00C77B8F" w:rsidRDefault="00F81FA5">
      <w:pPr>
        <w:spacing w:beforeLines="50" w:before="120" w:after="120"/>
        <w:jc w:val="both"/>
        <w:rPr>
          <w:rFonts w:ascii="Times New Roman" w:hAnsi="Times New Roman"/>
          <w:sz w:val="20"/>
          <w:szCs w:val="20"/>
        </w:rPr>
      </w:pPr>
      <w:r>
        <w:rPr>
          <w:rFonts w:ascii="Times New Roman" w:hAnsi="Times New Roman" w:hint="eastAsia"/>
          <w:sz w:val="20"/>
          <w:szCs w:val="20"/>
        </w:rPr>
        <w:t>Based on above analysis, it is concluded that both options limit the value of supported HARQ-ACK delay. Considering the bundling pattern is implicitly determined by HARQ-ACK delay, limiting the value of supported HARQ-ACK delay means the number of supported bundling pattern is limited. Therefore</w:t>
      </w:r>
      <w:r>
        <w:rPr>
          <w:rFonts w:ascii="Times New Roman" w:hAnsi="Times New Roman"/>
          <w:sz w:val="20"/>
          <w:szCs w:val="20"/>
        </w:rPr>
        <w:t>,</w:t>
      </w:r>
      <w:r>
        <w:rPr>
          <w:rFonts w:ascii="Times New Roman" w:hAnsi="Times New Roman" w:hint="eastAsia"/>
          <w:sz w:val="20"/>
          <w:szCs w:val="20"/>
        </w:rPr>
        <w:t xml:space="preserve"> eNB cannot configure the optimal bundling pattern which leads to </w:t>
      </w:r>
      <w:r>
        <w:rPr>
          <w:rFonts w:ascii="Times New Roman" w:hAnsi="Times New Roman" w:hint="eastAsia"/>
          <w:sz w:val="20"/>
          <w:szCs w:val="20"/>
        </w:rPr>
        <w:lastRenderedPageBreak/>
        <w:t xml:space="preserve">the increase of PDSCH retransmission probability and the decrease of data rate. Considering </w:t>
      </w:r>
      <w:r>
        <w:rPr>
          <w:rFonts w:ascii="Times New Roman" w:hAnsi="Times New Roman"/>
          <w:sz w:val="20"/>
          <w:szCs w:val="20"/>
        </w:rPr>
        <w:t xml:space="preserve">that </w:t>
      </w:r>
      <w:r>
        <w:rPr>
          <w:rFonts w:ascii="Times New Roman" w:hAnsi="Times New Roman" w:hint="eastAsia"/>
          <w:sz w:val="20"/>
          <w:szCs w:val="20"/>
        </w:rPr>
        <w:t>the data rate is influenced by the number of supported bundling pattern</w:t>
      </w:r>
      <w:r>
        <w:rPr>
          <w:rFonts w:ascii="Times New Roman" w:hAnsi="Times New Roman"/>
          <w:sz w:val="20"/>
          <w:szCs w:val="20"/>
        </w:rPr>
        <w:t>s</w:t>
      </w:r>
      <w:r>
        <w:rPr>
          <w:rFonts w:ascii="Times New Roman" w:hAnsi="Times New Roman" w:hint="eastAsia"/>
          <w:sz w:val="20"/>
          <w:szCs w:val="20"/>
        </w:rPr>
        <w:t>, the number of supported bundling pattern</w:t>
      </w:r>
      <w:r>
        <w:rPr>
          <w:rFonts w:ascii="Times New Roman" w:hAnsi="Times New Roman"/>
          <w:sz w:val="20"/>
          <w:szCs w:val="20"/>
        </w:rPr>
        <w:t>s for</w:t>
      </w:r>
      <w:r>
        <w:rPr>
          <w:rFonts w:ascii="Times New Roman" w:hAnsi="Times New Roman" w:hint="eastAsia"/>
          <w:sz w:val="20"/>
          <w:szCs w:val="20"/>
        </w:rPr>
        <w:t xml:space="preserve"> 14 HARQ processes should be at least same as legacy UE. </w:t>
      </w:r>
    </w:p>
    <w:p w:rsidR="00C77B8F" w:rsidRDefault="00F81FA5">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Observation 1: The number of supported bundling pattern</w:t>
      </w:r>
      <w:r>
        <w:rPr>
          <w:rFonts w:ascii="Times New Roman" w:hAnsi="Times New Roman"/>
          <w:b/>
          <w:bCs/>
          <w:i/>
          <w:iCs/>
          <w:sz w:val="20"/>
          <w:szCs w:val="20"/>
        </w:rPr>
        <w:t>s for</w:t>
      </w:r>
      <w:r>
        <w:rPr>
          <w:rFonts w:ascii="Times New Roman" w:hAnsi="Times New Roman" w:hint="eastAsia"/>
          <w:b/>
          <w:bCs/>
          <w:i/>
          <w:iCs/>
          <w:sz w:val="20"/>
          <w:szCs w:val="20"/>
        </w:rPr>
        <w:t xml:space="preserve"> 14 HARQ processes should be at least same as legacy UE.</w:t>
      </w:r>
    </w:p>
    <w:p w:rsidR="00C77B8F" w:rsidRDefault="00F81FA5">
      <w:pPr>
        <w:spacing w:beforeLines="50" w:before="120" w:after="120"/>
        <w:jc w:val="both"/>
        <w:rPr>
          <w:rFonts w:ascii="Times New Roman" w:hAnsi="Times New Roman"/>
          <w:sz w:val="20"/>
          <w:szCs w:val="20"/>
        </w:rPr>
      </w:pPr>
      <w:r>
        <w:rPr>
          <w:rFonts w:ascii="Times New Roman" w:hAnsi="Times New Roman" w:hint="eastAsia"/>
          <w:sz w:val="20"/>
          <w:szCs w:val="20"/>
        </w:rPr>
        <w:t xml:space="preserve">Based on above analysis, the PDSCH scheduling delay and HARQ-ACK feedback delay should be indicated by DCI. There are two indications, one is joint indication and the other is independent indication. From the perspective of signaling overhead, the joint indication is preferred. </w:t>
      </w:r>
      <w:r>
        <w:rPr>
          <w:rFonts w:ascii="Times New Roman" w:hAnsi="Times New Roman"/>
          <w:sz w:val="20"/>
          <w:szCs w:val="20"/>
        </w:rPr>
        <w:t>From the perspective of</w:t>
      </w:r>
      <w:r>
        <w:rPr>
          <w:rFonts w:ascii="Times New Roman" w:hAnsi="Times New Roman" w:hint="eastAsia"/>
          <w:sz w:val="20"/>
          <w:szCs w:val="20"/>
        </w:rPr>
        <w:t xml:space="preserve"> peak data rate, </w:t>
      </w:r>
      <w:r>
        <w:rPr>
          <w:rFonts w:ascii="Times New Roman" w:hAnsi="Times New Roman"/>
          <w:sz w:val="20"/>
          <w:szCs w:val="20"/>
        </w:rPr>
        <w:t xml:space="preserve">feature of </w:t>
      </w:r>
      <w:r>
        <w:rPr>
          <w:rFonts w:ascii="Times New Roman" w:hAnsi="Times New Roman" w:hint="eastAsia"/>
          <w:sz w:val="20"/>
          <w:szCs w:val="20"/>
        </w:rPr>
        <w:t xml:space="preserve">14-HARQ processes is not enabled if the repetition is used for PDSCH. </w:t>
      </w:r>
      <w:r>
        <w:rPr>
          <w:rFonts w:ascii="Times New Roman" w:hAnsi="Times New Roman"/>
          <w:sz w:val="20"/>
          <w:szCs w:val="20"/>
        </w:rPr>
        <w:t>In this case</w:t>
      </w:r>
      <w:r>
        <w:rPr>
          <w:rFonts w:ascii="Times New Roman" w:hAnsi="Times New Roman" w:hint="eastAsia"/>
          <w:sz w:val="20"/>
          <w:szCs w:val="20"/>
        </w:rPr>
        <w:t>, the repetition number field which is used to indicate PDSCH repetition number can be reused when 14-HARQ processes</w:t>
      </w:r>
      <w:r w:rsidR="001917EA">
        <w:rPr>
          <w:rFonts w:ascii="Times New Roman" w:hAnsi="Times New Roman"/>
          <w:sz w:val="20"/>
          <w:szCs w:val="20"/>
        </w:rPr>
        <w:t xml:space="preserve"> feature</w:t>
      </w:r>
      <w:r>
        <w:rPr>
          <w:rFonts w:ascii="Times New Roman" w:hAnsi="Times New Roman" w:hint="eastAsia"/>
          <w:sz w:val="20"/>
          <w:szCs w:val="20"/>
        </w:rPr>
        <w:t xml:space="preserve"> is enabled. Therefore</w:t>
      </w:r>
      <w:r>
        <w:rPr>
          <w:rFonts w:ascii="Times New Roman" w:hAnsi="Times New Roman"/>
          <w:sz w:val="20"/>
          <w:szCs w:val="20"/>
        </w:rPr>
        <w:t>,</w:t>
      </w:r>
      <w:r>
        <w:rPr>
          <w:rFonts w:ascii="Times New Roman" w:hAnsi="Times New Roman" w:hint="eastAsia"/>
          <w:sz w:val="20"/>
          <w:szCs w:val="20"/>
        </w:rPr>
        <w:t xml:space="preserve"> the PDSCH scheduling delay and HARQ-ACK feedback delay can be jointly indicated by repetition number field and HARQ-ACK delay field. One example is shown in Table 2 which the subframe</w:t>
      </w:r>
      <w:r w:rsidR="00A415CA">
        <w:rPr>
          <w:rFonts w:ascii="Times New Roman" w:hAnsi="Times New Roman"/>
          <w:sz w:val="20"/>
          <w:szCs w:val="20"/>
        </w:rPr>
        <w:t>s</w:t>
      </w:r>
      <w:bookmarkStart w:id="9" w:name="_GoBack"/>
      <w:bookmarkEnd w:id="9"/>
      <w:r>
        <w:rPr>
          <w:rFonts w:ascii="Times New Roman" w:hAnsi="Times New Roman" w:hint="eastAsia"/>
          <w:sz w:val="20"/>
          <w:szCs w:val="20"/>
        </w:rPr>
        <w:t xml:space="preserve"> type is also </w:t>
      </w:r>
      <w:r>
        <w:rPr>
          <w:rFonts w:ascii="Times New Roman" w:hAnsi="Times New Roman"/>
          <w:sz w:val="20"/>
          <w:szCs w:val="20"/>
        </w:rPr>
        <w:t>explicit indica</w:t>
      </w:r>
      <w:r>
        <w:rPr>
          <w:rFonts w:ascii="Times New Roman" w:hAnsi="Times New Roman" w:hint="eastAsia"/>
          <w:sz w:val="20"/>
          <w:szCs w:val="20"/>
        </w:rPr>
        <w:t>ted.</w:t>
      </w:r>
    </w:p>
    <w:p w:rsidR="00C77B8F" w:rsidRDefault="00F81FA5">
      <w:pPr>
        <w:pStyle w:val="a4"/>
        <w:jc w:val="center"/>
        <w:rPr>
          <w:b w:val="0"/>
          <w:bCs w:val="0"/>
          <w:lang w:val="en-US"/>
        </w:rPr>
      </w:pPr>
      <w:r>
        <w:rPr>
          <w:rFonts w:hint="eastAsia"/>
          <w:b w:val="0"/>
          <w:bCs w:val="0"/>
          <w:lang w:val="en-US" w:eastAsia="zh-CN"/>
        </w:rPr>
        <w:t xml:space="preserve">Table </w:t>
      </w:r>
      <w:r>
        <w:rPr>
          <w:b w:val="0"/>
          <w:bCs w:val="0"/>
          <w:lang w:val="en-US" w:eastAsia="zh-CN"/>
        </w:rPr>
        <w:t>2</w:t>
      </w:r>
      <w:r>
        <w:rPr>
          <w:rFonts w:hint="eastAsia"/>
          <w:b w:val="0"/>
          <w:bCs w:val="0"/>
          <w:lang w:val="en-US" w:eastAsia="zh-CN"/>
        </w:rPr>
        <w:t xml:space="preserve"> One example of joint indication</w:t>
      </w:r>
    </w:p>
    <w:tbl>
      <w:tblPr>
        <w:tblStyle w:val="af1"/>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9"/>
        <w:gridCol w:w="1795"/>
        <w:gridCol w:w="2323"/>
        <w:gridCol w:w="3022"/>
      </w:tblGrid>
      <w:tr w:rsidR="00C77B8F">
        <w:tc>
          <w:tcPr>
            <w:tcW w:w="2059" w:type="dxa"/>
          </w:tcPr>
          <w:p w:rsidR="00C77B8F" w:rsidRDefault="00F81FA5">
            <w:pPr>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Repetition number</w:t>
            </w:r>
            <w:r>
              <w:rPr>
                <w:rFonts w:ascii="Times New Roman" w:hAnsi="Times New Roman"/>
                <w:sz w:val="20"/>
                <w:szCs w:val="20"/>
              </w:rPr>
              <w:t>' field in DCI</w:t>
            </w:r>
          </w:p>
        </w:tc>
        <w:tc>
          <w:tcPr>
            <w:tcW w:w="1795" w:type="dxa"/>
          </w:tcPr>
          <w:p w:rsidR="00C77B8F" w:rsidRDefault="00F81FA5">
            <w:pPr>
              <w:rPr>
                <w:rFonts w:ascii="Times New Roman" w:hAnsi="Times New Roman"/>
                <w:sz w:val="20"/>
                <w:szCs w:val="20"/>
              </w:rPr>
            </w:pPr>
            <w:r>
              <w:rPr>
                <w:rFonts w:ascii="Times New Roman" w:hAnsi="Times New Roman"/>
                <w:sz w:val="20"/>
                <w:szCs w:val="20"/>
              </w:rPr>
              <w:t>'HARQ-ACK delay' field in DCI</w:t>
            </w:r>
          </w:p>
        </w:tc>
        <w:tc>
          <w:tcPr>
            <w:tcW w:w="2323" w:type="dxa"/>
          </w:tcPr>
          <w:p w:rsidR="00C77B8F" w:rsidRDefault="00F81FA5">
            <w:pPr>
              <w:rPr>
                <w:rFonts w:ascii="Times New Roman" w:hAnsi="Times New Roman"/>
                <w:sz w:val="20"/>
                <w:szCs w:val="20"/>
              </w:rPr>
            </w:pPr>
            <w:r>
              <w:rPr>
                <w:rFonts w:ascii="Times New Roman" w:hAnsi="Times New Roman"/>
                <w:sz w:val="20"/>
                <w:szCs w:val="20"/>
              </w:rPr>
              <w:t>Scheduling delay for PDSCH</w:t>
            </w:r>
          </w:p>
        </w:tc>
        <w:tc>
          <w:tcPr>
            <w:tcW w:w="3022" w:type="dxa"/>
          </w:tcPr>
          <w:p w:rsidR="00C77B8F" w:rsidRDefault="00F81FA5" w:rsidP="001917EA">
            <w:pPr>
              <w:rPr>
                <w:rFonts w:ascii="Times New Roman" w:hAnsi="Times New Roman"/>
                <w:sz w:val="20"/>
                <w:szCs w:val="20"/>
              </w:rPr>
            </w:pPr>
            <w:r>
              <w:rPr>
                <w:rFonts w:ascii="Times New Roman" w:hAnsi="Times New Roman"/>
                <w:sz w:val="20"/>
                <w:szCs w:val="20"/>
              </w:rPr>
              <w:t xml:space="preserve">HARQ-ACK delay value when </w:t>
            </w:r>
            <w:r>
              <w:rPr>
                <w:rFonts w:ascii="Times New Roman" w:hAnsi="Times New Roman"/>
                <w:i/>
                <w:iCs/>
                <w:sz w:val="20"/>
                <w:szCs w:val="20"/>
              </w:rPr>
              <w:t xml:space="preserve">ce-pdsch-fourteenProcesses </w:t>
            </w:r>
            <w:r w:rsidRPr="00C1520C">
              <w:rPr>
                <w:rFonts w:ascii="Times New Roman" w:hAnsi="Times New Roman"/>
                <w:iCs/>
                <w:sz w:val="20"/>
                <w:szCs w:val="20"/>
              </w:rPr>
              <w:t xml:space="preserve">is </w:t>
            </w:r>
            <w:r w:rsidRPr="00C1520C">
              <w:rPr>
                <w:rFonts w:ascii="Times New Roman" w:hAnsi="Times New Roman"/>
                <w:sz w:val="20"/>
                <w:szCs w:val="20"/>
              </w:rPr>
              <w:t>set</w:t>
            </w:r>
          </w:p>
        </w:tc>
      </w:tr>
      <w:tr w:rsidR="00C77B8F">
        <w:tc>
          <w:tcPr>
            <w:tcW w:w="2059" w:type="dxa"/>
            <w:vMerge w:val="restart"/>
          </w:tcPr>
          <w:p w:rsidR="00C77B8F" w:rsidRDefault="00F81FA5">
            <w:pPr>
              <w:jc w:val="center"/>
              <w:rPr>
                <w:rFonts w:ascii="Times New Roman" w:hAnsi="Times New Roman"/>
                <w:sz w:val="20"/>
                <w:szCs w:val="20"/>
              </w:rPr>
            </w:pPr>
            <w:r>
              <w:rPr>
                <w:rFonts w:ascii="Times New Roman" w:hAnsi="Times New Roman"/>
                <w:sz w:val="20"/>
                <w:szCs w:val="20"/>
              </w:rPr>
              <w:t>0</w:t>
            </w:r>
            <w:r>
              <w:rPr>
                <w:rFonts w:ascii="Times New Roman" w:hAnsi="Times New Roman" w:hint="eastAsia"/>
                <w:sz w:val="20"/>
                <w:szCs w:val="20"/>
              </w:rPr>
              <w:t>0</w:t>
            </w:r>
          </w:p>
        </w:tc>
        <w:tc>
          <w:tcPr>
            <w:tcW w:w="1795" w:type="dxa"/>
          </w:tcPr>
          <w:p w:rsidR="00C77B8F" w:rsidRDefault="00F81FA5">
            <w:pPr>
              <w:jc w:val="center"/>
              <w:rPr>
                <w:rFonts w:ascii="Times New Roman" w:hAnsi="Times New Roman"/>
                <w:sz w:val="20"/>
                <w:szCs w:val="20"/>
              </w:rPr>
            </w:pPr>
            <w:r>
              <w:rPr>
                <w:rFonts w:ascii="Times New Roman" w:hAnsi="Times New Roman"/>
                <w:sz w:val="20"/>
                <w:szCs w:val="20"/>
              </w:rPr>
              <w:t>000</w:t>
            </w:r>
          </w:p>
        </w:tc>
        <w:tc>
          <w:tcPr>
            <w:tcW w:w="2323" w:type="dxa"/>
          </w:tcPr>
          <w:p w:rsidR="00C77B8F" w:rsidRDefault="00F81FA5">
            <w:pPr>
              <w:jc w:val="center"/>
              <w:rPr>
                <w:rFonts w:ascii="Times New Roman" w:hAnsi="Times New Roman"/>
                <w:sz w:val="20"/>
                <w:szCs w:val="20"/>
              </w:rPr>
            </w:pPr>
            <w:r>
              <w:rPr>
                <w:rFonts w:ascii="Times New Roman" w:hAnsi="Times New Roman"/>
                <w:sz w:val="20"/>
                <w:szCs w:val="20"/>
              </w:rPr>
              <w:t>2</w:t>
            </w:r>
          </w:p>
        </w:tc>
        <w:tc>
          <w:tcPr>
            <w:tcW w:w="3022" w:type="dxa"/>
          </w:tcPr>
          <w:p w:rsidR="00C77B8F" w:rsidRDefault="00F81FA5">
            <w:pPr>
              <w:jc w:val="center"/>
              <w:rPr>
                <w:rFonts w:ascii="Times New Roman" w:hAnsi="Times New Roman"/>
                <w:sz w:val="20"/>
                <w:szCs w:val="20"/>
              </w:rPr>
            </w:pPr>
            <w:r>
              <w:rPr>
                <w:rFonts w:ascii="Times New Roman" w:hAnsi="Times New Roman"/>
                <w:sz w:val="20"/>
                <w:szCs w:val="20"/>
              </w:rPr>
              <w:t>4</w:t>
            </w:r>
          </w:p>
        </w:tc>
      </w:tr>
      <w:tr w:rsidR="00C77B8F">
        <w:tc>
          <w:tcPr>
            <w:tcW w:w="2059" w:type="dxa"/>
            <w:vMerge/>
          </w:tcPr>
          <w:p w:rsidR="00C77B8F" w:rsidRDefault="00C77B8F">
            <w:pPr>
              <w:jc w:val="center"/>
              <w:rPr>
                <w:rFonts w:ascii="Times New Roman" w:hAnsi="Times New Roman"/>
                <w:sz w:val="20"/>
                <w:szCs w:val="20"/>
              </w:rPr>
            </w:pPr>
          </w:p>
        </w:tc>
        <w:tc>
          <w:tcPr>
            <w:tcW w:w="1795" w:type="dxa"/>
          </w:tcPr>
          <w:p w:rsidR="00C77B8F" w:rsidRDefault="00F81FA5">
            <w:pPr>
              <w:jc w:val="center"/>
              <w:rPr>
                <w:rFonts w:ascii="Times New Roman" w:hAnsi="Times New Roman"/>
                <w:sz w:val="20"/>
                <w:szCs w:val="20"/>
              </w:rPr>
            </w:pPr>
            <w:r>
              <w:rPr>
                <w:rFonts w:ascii="Times New Roman" w:hAnsi="Times New Roman"/>
                <w:sz w:val="20"/>
                <w:szCs w:val="20"/>
              </w:rPr>
              <w:t>001</w:t>
            </w:r>
          </w:p>
        </w:tc>
        <w:tc>
          <w:tcPr>
            <w:tcW w:w="2323" w:type="dxa"/>
          </w:tcPr>
          <w:p w:rsidR="00C77B8F" w:rsidRDefault="00F81FA5">
            <w:pPr>
              <w:jc w:val="center"/>
              <w:rPr>
                <w:rFonts w:ascii="Times New Roman" w:hAnsi="Times New Roman"/>
                <w:sz w:val="20"/>
                <w:szCs w:val="20"/>
              </w:rPr>
            </w:pPr>
            <w:r>
              <w:rPr>
                <w:rFonts w:ascii="Times New Roman" w:hAnsi="Times New Roman"/>
                <w:sz w:val="20"/>
                <w:szCs w:val="20"/>
              </w:rPr>
              <w:t>2</w:t>
            </w:r>
          </w:p>
        </w:tc>
        <w:tc>
          <w:tcPr>
            <w:tcW w:w="3022" w:type="dxa"/>
          </w:tcPr>
          <w:p w:rsidR="00C77B8F" w:rsidRDefault="00F81FA5">
            <w:pPr>
              <w:jc w:val="center"/>
              <w:rPr>
                <w:rFonts w:ascii="Times New Roman" w:hAnsi="Times New Roman"/>
                <w:sz w:val="20"/>
                <w:szCs w:val="20"/>
              </w:rPr>
            </w:pPr>
            <w:r>
              <w:rPr>
                <w:rFonts w:ascii="Times New Roman" w:hAnsi="Times New Roman"/>
                <w:sz w:val="20"/>
                <w:szCs w:val="20"/>
              </w:rPr>
              <w:t>5</w:t>
            </w:r>
          </w:p>
        </w:tc>
      </w:tr>
      <w:tr w:rsidR="00C77B8F">
        <w:tc>
          <w:tcPr>
            <w:tcW w:w="2059" w:type="dxa"/>
            <w:vMerge/>
          </w:tcPr>
          <w:p w:rsidR="00C77B8F" w:rsidRDefault="00C77B8F">
            <w:pPr>
              <w:jc w:val="center"/>
              <w:rPr>
                <w:rFonts w:ascii="Times New Roman" w:hAnsi="Times New Roman"/>
                <w:sz w:val="20"/>
                <w:szCs w:val="20"/>
              </w:rPr>
            </w:pPr>
          </w:p>
        </w:tc>
        <w:tc>
          <w:tcPr>
            <w:tcW w:w="1795" w:type="dxa"/>
          </w:tcPr>
          <w:p w:rsidR="00C77B8F" w:rsidRDefault="00F81FA5">
            <w:pPr>
              <w:jc w:val="center"/>
              <w:rPr>
                <w:rFonts w:ascii="Times New Roman" w:hAnsi="Times New Roman"/>
                <w:sz w:val="20"/>
                <w:szCs w:val="20"/>
              </w:rPr>
            </w:pPr>
            <w:r>
              <w:rPr>
                <w:rFonts w:ascii="Times New Roman" w:hAnsi="Times New Roman"/>
                <w:sz w:val="20"/>
                <w:szCs w:val="20"/>
              </w:rPr>
              <w:t>010</w:t>
            </w:r>
          </w:p>
        </w:tc>
        <w:tc>
          <w:tcPr>
            <w:tcW w:w="2323" w:type="dxa"/>
          </w:tcPr>
          <w:p w:rsidR="00C77B8F" w:rsidRDefault="00F81FA5">
            <w:pPr>
              <w:jc w:val="center"/>
              <w:rPr>
                <w:rFonts w:ascii="Times New Roman" w:hAnsi="Times New Roman"/>
                <w:sz w:val="20"/>
                <w:szCs w:val="20"/>
              </w:rPr>
            </w:pPr>
            <w:r>
              <w:rPr>
                <w:rFonts w:ascii="Times New Roman" w:hAnsi="Times New Roman"/>
                <w:sz w:val="20"/>
                <w:szCs w:val="20"/>
              </w:rPr>
              <w:t>2</w:t>
            </w:r>
          </w:p>
        </w:tc>
        <w:tc>
          <w:tcPr>
            <w:tcW w:w="3022" w:type="dxa"/>
          </w:tcPr>
          <w:p w:rsidR="00C77B8F" w:rsidRDefault="00F81FA5">
            <w:pPr>
              <w:jc w:val="center"/>
              <w:rPr>
                <w:rFonts w:ascii="Times New Roman" w:hAnsi="Times New Roman"/>
                <w:sz w:val="20"/>
                <w:szCs w:val="20"/>
              </w:rPr>
            </w:pPr>
            <w:r>
              <w:rPr>
                <w:rFonts w:ascii="Times New Roman" w:hAnsi="Times New Roman"/>
                <w:sz w:val="20"/>
                <w:szCs w:val="20"/>
              </w:rPr>
              <w:t>6</w:t>
            </w:r>
          </w:p>
        </w:tc>
      </w:tr>
      <w:tr w:rsidR="00C77B8F">
        <w:tc>
          <w:tcPr>
            <w:tcW w:w="2059" w:type="dxa"/>
            <w:vMerge/>
          </w:tcPr>
          <w:p w:rsidR="00C77B8F" w:rsidRDefault="00C77B8F">
            <w:pPr>
              <w:jc w:val="center"/>
              <w:rPr>
                <w:rFonts w:ascii="Times New Roman" w:hAnsi="Times New Roman"/>
                <w:sz w:val="20"/>
                <w:szCs w:val="20"/>
              </w:rPr>
            </w:pPr>
          </w:p>
        </w:tc>
        <w:tc>
          <w:tcPr>
            <w:tcW w:w="1795" w:type="dxa"/>
          </w:tcPr>
          <w:p w:rsidR="00C77B8F" w:rsidRDefault="00F81FA5">
            <w:pPr>
              <w:jc w:val="center"/>
              <w:rPr>
                <w:rFonts w:ascii="Times New Roman" w:hAnsi="Times New Roman"/>
                <w:sz w:val="20"/>
                <w:szCs w:val="20"/>
              </w:rPr>
            </w:pPr>
            <w:r>
              <w:rPr>
                <w:rFonts w:ascii="Times New Roman" w:hAnsi="Times New Roman"/>
                <w:sz w:val="20"/>
                <w:szCs w:val="20"/>
              </w:rPr>
              <w:t>011</w:t>
            </w:r>
          </w:p>
        </w:tc>
        <w:tc>
          <w:tcPr>
            <w:tcW w:w="2323" w:type="dxa"/>
          </w:tcPr>
          <w:p w:rsidR="00C77B8F" w:rsidRDefault="00F81FA5">
            <w:pPr>
              <w:jc w:val="center"/>
              <w:rPr>
                <w:rFonts w:ascii="Times New Roman" w:hAnsi="Times New Roman"/>
                <w:sz w:val="20"/>
                <w:szCs w:val="20"/>
              </w:rPr>
            </w:pPr>
            <w:r>
              <w:rPr>
                <w:rFonts w:ascii="Times New Roman" w:hAnsi="Times New Roman"/>
                <w:sz w:val="20"/>
                <w:szCs w:val="20"/>
              </w:rPr>
              <w:t>2</w:t>
            </w:r>
          </w:p>
        </w:tc>
        <w:tc>
          <w:tcPr>
            <w:tcW w:w="3022" w:type="dxa"/>
          </w:tcPr>
          <w:p w:rsidR="00C77B8F" w:rsidRDefault="00F81FA5">
            <w:pPr>
              <w:jc w:val="center"/>
              <w:rPr>
                <w:rFonts w:ascii="Times New Roman" w:hAnsi="Times New Roman"/>
                <w:sz w:val="20"/>
                <w:szCs w:val="20"/>
              </w:rPr>
            </w:pPr>
            <w:r>
              <w:rPr>
                <w:rFonts w:ascii="Times New Roman" w:hAnsi="Times New Roman"/>
                <w:sz w:val="20"/>
                <w:szCs w:val="20"/>
              </w:rPr>
              <w:t>7</w:t>
            </w:r>
          </w:p>
        </w:tc>
      </w:tr>
      <w:tr w:rsidR="00C77B8F">
        <w:tc>
          <w:tcPr>
            <w:tcW w:w="2059" w:type="dxa"/>
            <w:vMerge/>
          </w:tcPr>
          <w:p w:rsidR="00C77B8F" w:rsidRDefault="00C77B8F">
            <w:pPr>
              <w:jc w:val="center"/>
              <w:rPr>
                <w:rFonts w:ascii="Times New Roman" w:hAnsi="Times New Roman"/>
                <w:sz w:val="20"/>
                <w:szCs w:val="20"/>
              </w:rPr>
            </w:pPr>
          </w:p>
        </w:tc>
        <w:tc>
          <w:tcPr>
            <w:tcW w:w="1795" w:type="dxa"/>
          </w:tcPr>
          <w:p w:rsidR="00C77B8F" w:rsidRDefault="00F81FA5">
            <w:pPr>
              <w:jc w:val="center"/>
              <w:rPr>
                <w:rFonts w:ascii="Times New Roman" w:hAnsi="Times New Roman"/>
                <w:sz w:val="20"/>
                <w:szCs w:val="20"/>
              </w:rPr>
            </w:pPr>
            <w:r>
              <w:rPr>
                <w:rFonts w:ascii="Times New Roman" w:hAnsi="Times New Roman"/>
                <w:sz w:val="20"/>
                <w:szCs w:val="20"/>
              </w:rPr>
              <w:t>100</w:t>
            </w:r>
          </w:p>
        </w:tc>
        <w:tc>
          <w:tcPr>
            <w:tcW w:w="2323" w:type="dxa"/>
          </w:tcPr>
          <w:p w:rsidR="00C77B8F" w:rsidRDefault="00F81FA5">
            <w:pPr>
              <w:jc w:val="center"/>
              <w:rPr>
                <w:rFonts w:ascii="Times New Roman" w:hAnsi="Times New Roman"/>
                <w:sz w:val="20"/>
                <w:szCs w:val="20"/>
              </w:rPr>
            </w:pPr>
            <w:r>
              <w:rPr>
                <w:rFonts w:ascii="Times New Roman" w:hAnsi="Times New Roman"/>
                <w:sz w:val="20"/>
                <w:szCs w:val="20"/>
              </w:rPr>
              <w:t>2</w:t>
            </w:r>
          </w:p>
        </w:tc>
        <w:tc>
          <w:tcPr>
            <w:tcW w:w="3022" w:type="dxa"/>
          </w:tcPr>
          <w:p w:rsidR="00C77B8F" w:rsidRDefault="00F81FA5">
            <w:pPr>
              <w:jc w:val="center"/>
              <w:rPr>
                <w:rFonts w:ascii="Times New Roman" w:hAnsi="Times New Roman"/>
                <w:sz w:val="20"/>
                <w:szCs w:val="20"/>
              </w:rPr>
            </w:pPr>
            <w:r>
              <w:rPr>
                <w:rFonts w:ascii="Times New Roman" w:hAnsi="Times New Roman"/>
                <w:sz w:val="20"/>
                <w:szCs w:val="20"/>
              </w:rPr>
              <w:t>8</w:t>
            </w:r>
          </w:p>
        </w:tc>
      </w:tr>
      <w:tr w:rsidR="00C77B8F">
        <w:tc>
          <w:tcPr>
            <w:tcW w:w="2059" w:type="dxa"/>
            <w:vMerge/>
          </w:tcPr>
          <w:p w:rsidR="00C77B8F" w:rsidRDefault="00C77B8F">
            <w:pPr>
              <w:jc w:val="center"/>
              <w:rPr>
                <w:rFonts w:ascii="Times New Roman" w:hAnsi="Times New Roman"/>
                <w:sz w:val="20"/>
                <w:szCs w:val="20"/>
              </w:rPr>
            </w:pPr>
          </w:p>
        </w:tc>
        <w:tc>
          <w:tcPr>
            <w:tcW w:w="1795" w:type="dxa"/>
          </w:tcPr>
          <w:p w:rsidR="00C77B8F" w:rsidRDefault="00F81FA5">
            <w:pPr>
              <w:jc w:val="center"/>
              <w:rPr>
                <w:rFonts w:ascii="Times New Roman" w:hAnsi="Times New Roman"/>
                <w:sz w:val="20"/>
                <w:szCs w:val="20"/>
              </w:rPr>
            </w:pPr>
            <w:r>
              <w:rPr>
                <w:rFonts w:ascii="Times New Roman" w:hAnsi="Times New Roman"/>
                <w:sz w:val="20"/>
                <w:szCs w:val="20"/>
              </w:rPr>
              <w:t>101</w:t>
            </w:r>
          </w:p>
        </w:tc>
        <w:tc>
          <w:tcPr>
            <w:tcW w:w="2323" w:type="dxa"/>
          </w:tcPr>
          <w:p w:rsidR="00C77B8F" w:rsidRDefault="00F81FA5">
            <w:pPr>
              <w:jc w:val="center"/>
              <w:rPr>
                <w:rFonts w:ascii="Times New Roman" w:hAnsi="Times New Roman"/>
                <w:sz w:val="20"/>
                <w:szCs w:val="20"/>
              </w:rPr>
            </w:pPr>
            <w:r>
              <w:rPr>
                <w:rFonts w:ascii="Times New Roman" w:hAnsi="Times New Roman"/>
                <w:sz w:val="20"/>
                <w:szCs w:val="20"/>
              </w:rPr>
              <w:t>2</w:t>
            </w:r>
          </w:p>
        </w:tc>
        <w:tc>
          <w:tcPr>
            <w:tcW w:w="3022" w:type="dxa"/>
          </w:tcPr>
          <w:p w:rsidR="00C77B8F" w:rsidRDefault="00F81FA5">
            <w:pPr>
              <w:jc w:val="center"/>
              <w:rPr>
                <w:rFonts w:ascii="Times New Roman" w:hAnsi="Times New Roman"/>
                <w:sz w:val="20"/>
                <w:szCs w:val="20"/>
              </w:rPr>
            </w:pPr>
            <w:r>
              <w:rPr>
                <w:rFonts w:ascii="Times New Roman" w:hAnsi="Times New Roman"/>
                <w:sz w:val="20"/>
                <w:szCs w:val="20"/>
              </w:rPr>
              <w:t>9</w:t>
            </w:r>
          </w:p>
        </w:tc>
      </w:tr>
      <w:tr w:rsidR="00C77B8F">
        <w:tc>
          <w:tcPr>
            <w:tcW w:w="2059" w:type="dxa"/>
            <w:vMerge/>
          </w:tcPr>
          <w:p w:rsidR="00C77B8F" w:rsidRDefault="00C77B8F">
            <w:pPr>
              <w:jc w:val="center"/>
              <w:rPr>
                <w:rFonts w:ascii="Times New Roman" w:hAnsi="Times New Roman"/>
                <w:sz w:val="20"/>
                <w:szCs w:val="20"/>
              </w:rPr>
            </w:pPr>
          </w:p>
        </w:tc>
        <w:tc>
          <w:tcPr>
            <w:tcW w:w="1795" w:type="dxa"/>
          </w:tcPr>
          <w:p w:rsidR="00C77B8F" w:rsidRDefault="00F81FA5">
            <w:pPr>
              <w:jc w:val="center"/>
              <w:rPr>
                <w:rFonts w:ascii="Times New Roman" w:hAnsi="Times New Roman"/>
                <w:sz w:val="20"/>
                <w:szCs w:val="20"/>
              </w:rPr>
            </w:pPr>
            <w:r>
              <w:rPr>
                <w:rFonts w:ascii="Times New Roman" w:hAnsi="Times New Roman"/>
                <w:sz w:val="20"/>
                <w:szCs w:val="20"/>
              </w:rPr>
              <w:t>110</w:t>
            </w:r>
          </w:p>
        </w:tc>
        <w:tc>
          <w:tcPr>
            <w:tcW w:w="2323" w:type="dxa"/>
          </w:tcPr>
          <w:p w:rsidR="00C77B8F" w:rsidRDefault="00F81FA5">
            <w:pPr>
              <w:jc w:val="center"/>
              <w:rPr>
                <w:rFonts w:ascii="Times New Roman" w:hAnsi="Times New Roman"/>
                <w:sz w:val="20"/>
                <w:szCs w:val="20"/>
              </w:rPr>
            </w:pPr>
            <w:r>
              <w:rPr>
                <w:rFonts w:ascii="Times New Roman" w:hAnsi="Times New Roman"/>
                <w:sz w:val="20"/>
                <w:szCs w:val="20"/>
              </w:rPr>
              <w:t>2</w:t>
            </w:r>
          </w:p>
        </w:tc>
        <w:tc>
          <w:tcPr>
            <w:tcW w:w="3022" w:type="dxa"/>
          </w:tcPr>
          <w:p w:rsidR="00C77B8F" w:rsidRDefault="00F81FA5">
            <w:pPr>
              <w:jc w:val="center"/>
              <w:rPr>
                <w:rFonts w:ascii="Times New Roman" w:hAnsi="Times New Roman"/>
                <w:sz w:val="20"/>
                <w:szCs w:val="20"/>
              </w:rPr>
            </w:pPr>
            <w:r>
              <w:rPr>
                <w:rFonts w:ascii="Times New Roman" w:hAnsi="Times New Roman"/>
                <w:sz w:val="20"/>
                <w:szCs w:val="20"/>
              </w:rPr>
              <w:t>10</w:t>
            </w:r>
          </w:p>
        </w:tc>
      </w:tr>
      <w:tr w:rsidR="00C77B8F">
        <w:tc>
          <w:tcPr>
            <w:tcW w:w="2059" w:type="dxa"/>
            <w:vMerge/>
          </w:tcPr>
          <w:p w:rsidR="00C77B8F" w:rsidRDefault="00C77B8F">
            <w:pPr>
              <w:jc w:val="center"/>
              <w:rPr>
                <w:rFonts w:ascii="Times New Roman" w:hAnsi="Times New Roman"/>
                <w:sz w:val="20"/>
                <w:szCs w:val="20"/>
              </w:rPr>
            </w:pPr>
          </w:p>
        </w:tc>
        <w:tc>
          <w:tcPr>
            <w:tcW w:w="1795" w:type="dxa"/>
          </w:tcPr>
          <w:p w:rsidR="00C77B8F" w:rsidRDefault="00F81FA5">
            <w:pPr>
              <w:jc w:val="center"/>
              <w:rPr>
                <w:rFonts w:ascii="Times New Roman" w:hAnsi="Times New Roman"/>
                <w:sz w:val="20"/>
                <w:szCs w:val="20"/>
              </w:rPr>
            </w:pPr>
            <w:r>
              <w:rPr>
                <w:rFonts w:ascii="Times New Roman" w:hAnsi="Times New Roman"/>
                <w:sz w:val="20"/>
                <w:szCs w:val="20"/>
              </w:rPr>
              <w:t>111</w:t>
            </w:r>
          </w:p>
        </w:tc>
        <w:tc>
          <w:tcPr>
            <w:tcW w:w="2323" w:type="dxa"/>
          </w:tcPr>
          <w:p w:rsidR="00C77B8F" w:rsidRDefault="00F81FA5">
            <w:pPr>
              <w:jc w:val="center"/>
              <w:rPr>
                <w:rFonts w:ascii="Times New Roman" w:hAnsi="Times New Roman"/>
                <w:sz w:val="20"/>
                <w:szCs w:val="20"/>
              </w:rPr>
            </w:pPr>
            <w:r>
              <w:rPr>
                <w:rFonts w:ascii="Times New Roman" w:hAnsi="Times New Roman"/>
                <w:sz w:val="20"/>
                <w:szCs w:val="20"/>
              </w:rPr>
              <w:t>2</w:t>
            </w:r>
          </w:p>
        </w:tc>
        <w:tc>
          <w:tcPr>
            <w:tcW w:w="3022" w:type="dxa"/>
          </w:tcPr>
          <w:p w:rsidR="00C77B8F" w:rsidRDefault="00F81FA5">
            <w:pPr>
              <w:jc w:val="center"/>
              <w:rPr>
                <w:rFonts w:ascii="Times New Roman" w:hAnsi="Times New Roman"/>
                <w:sz w:val="20"/>
                <w:szCs w:val="20"/>
              </w:rPr>
            </w:pPr>
            <w:r>
              <w:rPr>
                <w:rFonts w:ascii="Times New Roman" w:hAnsi="Times New Roman"/>
                <w:sz w:val="20"/>
                <w:szCs w:val="20"/>
              </w:rPr>
              <w:t>11</w:t>
            </w:r>
          </w:p>
        </w:tc>
      </w:tr>
      <w:tr w:rsidR="00C77B8F">
        <w:tc>
          <w:tcPr>
            <w:tcW w:w="2059" w:type="dxa"/>
            <w:vMerge w:val="restart"/>
          </w:tcPr>
          <w:p w:rsidR="00C77B8F" w:rsidRDefault="00F81FA5">
            <w:pPr>
              <w:jc w:val="center"/>
              <w:rPr>
                <w:rFonts w:ascii="Times New Roman" w:hAnsi="Times New Roman"/>
                <w:sz w:val="20"/>
                <w:szCs w:val="20"/>
              </w:rPr>
            </w:pPr>
            <w:r>
              <w:rPr>
                <w:rFonts w:ascii="Times New Roman" w:hAnsi="Times New Roman" w:hint="eastAsia"/>
                <w:sz w:val="20"/>
                <w:szCs w:val="20"/>
              </w:rPr>
              <w:t>0</w:t>
            </w:r>
            <w:r>
              <w:rPr>
                <w:rFonts w:ascii="Times New Roman" w:hAnsi="Times New Roman"/>
                <w:sz w:val="20"/>
                <w:szCs w:val="20"/>
              </w:rPr>
              <w:t>1</w:t>
            </w:r>
          </w:p>
        </w:tc>
        <w:tc>
          <w:tcPr>
            <w:tcW w:w="1795" w:type="dxa"/>
          </w:tcPr>
          <w:p w:rsidR="00C77B8F" w:rsidRDefault="00F81FA5">
            <w:pPr>
              <w:jc w:val="center"/>
              <w:rPr>
                <w:rFonts w:ascii="Times New Roman" w:hAnsi="Times New Roman"/>
                <w:sz w:val="20"/>
                <w:szCs w:val="20"/>
              </w:rPr>
            </w:pPr>
            <w:r>
              <w:rPr>
                <w:rFonts w:ascii="Times New Roman" w:hAnsi="Times New Roman"/>
                <w:sz w:val="20"/>
                <w:szCs w:val="20"/>
              </w:rPr>
              <w:t>000</w:t>
            </w:r>
          </w:p>
        </w:tc>
        <w:tc>
          <w:tcPr>
            <w:tcW w:w="2323" w:type="dxa"/>
          </w:tcPr>
          <w:p w:rsidR="00C77B8F" w:rsidRDefault="00F81FA5">
            <w:pPr>
              <w:jc w:val="center"/>
              <w:rPr>
                <w:rFonts w:ascii="Times New Roman" w:hAnsi="Times New Roman"/>
                <w:sz w:val="20"/>
                <w:szCs w:val="20"/>
              </w:rPr>
            </w:pPr>
            <w:r>
              <w:rPr>
                <w:rFonts w:ascii="Times New Roman" w:hAnsi="Times New Roman" w:hint="eastAsia"/>
                <w:sz w:val="20"/>
                <w:szCs w:val="20"/>
              </w:rPr>
              <w:t>7</w:t>
            </w:r>
            <w:r>
              <w:rPr>
                <w:rFonts w:ascii="Times New Roman" w:hAnsi="Times New Roman"/>
                <w:sz w:val="20"/>
                <w:szCs w:val="20"/>
              </w:rPr>
              <w:t xml:space="preserve"> </w:t>
            </w:r>
            <w:r>
              <w:rPr>
                <w:rFonts w:ascii="Times New Roman" w:hAnsi="Times New Roman" w:hint="eastAsia"/>
                <w:sz w:val="20"/>
                <w:szCs w:val="20"/>
              </w:rPr>
              <w:t>(subframes type</w:t>
            </w:r>
            <w:r>
              <w:rPr>
                <w:rFonts w:ascii="Times New Roman" w:hAnsi="Times New Roman"/>
                <w:sz w:val="20"/>
                <w:szCs w:val="20"/>
              </w:rPr>
              <w:t xml:space="preserve"> 1</w:t>
            </w:r>
            <w:r>
              <w:rPr>
                <w:rFonts w:ascii="Times New Roman" w:hAnsi="Times New Roman" w:hint="eastAsia"/>
                <w:sz w:val="20"/>
                <w:szCs w:val="20"/>
              </w:rPr>
              <w:t>)</w:t>
            </w:r>
          </w:p>
        </w:tc>
        <w:tc>
          <w:tcPr>
            <w:tcW w:w="3022" w:type="dxa"/>
          </w:tcPr>
          <w:p w:rsidR="00C77B8F" w:rsidRDefault="00F81FA5">
            <w:pPr>
              <w:jc w:val="center"/>
              <w:rPr>
                <w:rFonts w:ascii="Times New Roman" w:hAnsi="Times New Roman"/>
                <w:sz w:val="20"/>
                <w:szCs w:val="20"/>
              </w:rPr>
            </w:pPr>
            <w:r>
              <w:rPr>
                <w:rFonts w:ascii="Times New Roman" w:hAnsi="Times New Roman" w:hint="eastAsia"/>
                <w:sz w:val="20"/>
                <w:szCs w:val="20"/>
              </w:rPr>
              <w:t>12</w:t>
            </w:r>
          </w:p>
        </w:tc>
      </w:tr>
      <w:tr w:rsidR="00C77B8F">
        <w:tc>
          <w:tcPr>
            <w:tcW w:w="2059" w:type="dxa"/>
            <w:vMerge/>
          </w:tcPr>
          <w:p w:rsidR="00C77B8F" w:rsidRDefault="00C77B8F">
            <w:pPr>
              <w:jc w:val="center"/>
              <w:rPr>
                <w:rFonts w:ascii="Times New Roman" w:hAnsi="Times New Roman"/>
                <w:sz w:val="20"/>
                <w:szCs w:val="20"/>
              </w:rPr>
            </w:pPr>
          </w:p>
        </w:tc>
        <w:tc>
          <w:tcPr>
            <w:tcW w:w="1795" w:type="dxa"/>
          </w:tcPr>
          <w:p w:rsidR="00C77B8F" w:rsidRDefault="00F81FA5">
            <w:pPr>
              <w:jc w:val="center"/>
              <w:rPr>
                <w:rFonts w:ascii="Times New Roman" w:hAnsi="Times New Roman"/>
                <w:sz w:val="20"/>
                <w:szCs w:val="20"/>
              </w:rPr>
            </w:pPr>
            <w:r>
              <w:rPr>
                <w:rFonts w:ascii="Times New Roman" w:hAnsi="Times New Roman"/>
                <w:sz w:val="20"/>
                <w:szCs w:val="20"/>
              </w:rPr>
              <w:t>001</w:t>
            </w:r>
          </w:p>
        </w:tc>
        <w:tc>
          <w:tcPr>
            <w:tcW w:w="2323" w:type="dxa"/>
          </w:tcPr>
          <w:p w:rsidR="00C77B8F" w:rsidRDefault="00F81FA5">
            <w:pPr>
              <w:jc w:val="center"/>
              <w:rPr>
                <w:rFonts w:ascii="Times New Roman" w:hAnsi="Times New Roman"/>
                <w:sz w:val="20"/>
                <w:szCs w:val="20"/>
              </w:rPr>
            </w:pPr>
            <w:r>
              <w:rPr>
                <w:rFonts w:ascii="Times New Roman" w:hAnsi="Times New Roman" w:hint="eastAsia"/>
                <w:sz w:val="20"/>
                <w:szCs w:val="20"/>
              </w:rPr>
              <w:t>7</w:t>
            </w:r>
            <w:r>
              <w:rPr>
                <w:rFonts w:ascii="Times New Roman" w:hAnsi="Times New Roman"/>
                <w:sz w:val="20"/>
                <w:szCs w:val="20"/>
              </w:rPr>
              <w:t xml:space="preserve"> </w:t>
            </w:r>
            <w:r>
              <w:rPr>
                <w:rFonts w:ascii="Times New Roman" w:hAnsi="Times New Roman" w:hint="eastAsia"/>
                <w:sz w:val="20"/>
                <w:szCs w:val="20"/>
              </w:rPr>
              <w:t>(subframes type</w:t>
            </w:r>
            <w:r>
              <w:rPr>
                <w:rFonts w:ascii="Times New Roman" w:hAnsi="Times New Roman"/>
                <w:sz w:val="20"/>
                <w:szCs w:val="20"/>
              </w:rPr>
              <w:t xml:space="preserve"> 2</w:t>
            </w:r>
            <w:r>
              <w:rPr>
                <w:rFonts w:ascii="Times New Roman" w:hAnsi="Times New Roman" w:hint="eastAsia"/>
                <w:sz w:val="20"/>
                <w:szCs w:val="20"/>
              </w:rPr>
              <w:t>)</w:t>
            </w:r>
          </w:p>
        </w:tc>
        <w:tc>
          <w:tcPr>
            <w:tcW w:w="3022" w:type="dxa"/>
          </w:tcPr>
          <w:p w:rsidR="00C77B8F" w:rsidRDefault="00F81FA5">
            <w:pPr>
              <w:jc w:val="center"/>
              <w:rPr>
                <w:rFonts w:ascii="Times New Roman" w:hAnsi="Times New Roman"/>
                <w:sz w:val="20"/>
                <w:szCs w:val="20"/>
              </w:rPr>
            </w:pPr>
            <w:r>
              <w:rPr>
                <w:rFonts w:ascii="Times New Roman" w:hAnsi="Times New Roman" w:hint="eastAsia"/>
                <w:sz w:val="20"/>
                <w:szCs w:val="20"/>
              </w:rPr>
              <w:t>12</w:t>
            </w:r>
          </w:p>
        </w:tc>
      </w:tr>
      <w:tr w:rsidR="00C77B8F">
        <w:tc>
          <w:tcPr>
            <w:tcW w:w="2059" w:type="dxa"/>
            <w:vMerge/>
          </w:tcPr>
          <w:p w:rsidR="00C77B8F" w:rsidRDefault="00C77B8F">
            <w:pPr>
              <w:jc w:val="center"/>
              <w:rPr>
                <w:rFonts w:ascii="Times New Roman" w:hAnsi="Times New Roman"/>
                <w:sz w:val="20"/>
                <w:szCs w:val="20"/>
              </w:rPr>
            </w:pPr>
          </w:p>
        </w:tc>
        <w:tc>
          <w:tcPr>
            <w:tcW w:w="1795" w:type="dxa"/>
          </w:tcPr>
          <w:p w:rsidR="00C77B8F" w:rsidRDefault="00F81FA5">
            <w:pPr>
              <w:jc w:val="center"/>
              <w:rPr>
                <w:rFonts w:ascii="Times New Roman" w:hAnsi="Times New Roman"/>
                <w:sz w:val="20"/>
                <w:szCs w:val="20"/>
              </w:rPr>
            </w:pPr>
            <w:r>
              <w:rPr>
                <w:rFonts w:ascii="Times New Roman" w:hAnsi="Times New Roman"/>
                <w:sz w:val="20"/>
                <w:szCs w:val="20"/>
              </w:rPr>
              <w:t>010</w:t>
            </w:r>
          </w:p>
        </w:tc>
        <w:tc>
          <w:tcPr>
            <w:tcW w:w="2323" w:type="dxa"/>
          </w:tcPr>
          <w:p w:rsidR="00C77B8F" w:rsidRDefault="00F81FA5">
            <w:pPr>
              <w:jc w:val="center"/>
              <w:rPr>
                <w:rFonts w:ascii="Times New Roman" w:hAnsi="Times New Roman"/>
                <w:sz w:val="20"/>
                <w:szCs w:val="20"/>
              </w:rPr>
            </w:pPr>
            <w:r>
              <w:rPr>
                <w:rFonts w:ascii="Times New Roman" w:hAnsi="Times New Roman" w:hint="eastAsia"/>
                <w:sz w:val="20"/>
                <w:szCs w:val="20"/>
              </w:rPr>
              <w:t>7</w:t>
            </w:r>
            <w:r>
              <w:rPr>
                <w:rFonts w:ascii="Times New Roman" w:hAnsi="Times New Roman"/>
                <w:sz w:val="20"/>
                <w:szCs w:val="20"/>
              </w:rPr>
              <w:t xml:space="preserve"> </w:t>
            </w:r>
            <w:r>
              <w:rPr>
                <w:rFonts w:ascii="Times New Roman" w:hAnsi="Times New Roman" w:hint="eastAsia"/>
                <w:sz w:val="20"/>
                <w:szCs w:val="20"/>
              </w:rPr>
              <w:t>(subframes type</w:t>
            </w:r>
            <w:r>
              <w:rPr>
                <w:rFonts w:ascii="Times New Roman" w:hAnsi="Times New Roman"/>
                <w:sz w:val="20"/>
                <w:szCs w:val="20"/>
              </w:rPr>
              <w:t xml:space="preserve"> 1</w:t>
            </w:r>
            <w:r>
              <w:rPr>
                <w:rFonts w:ascii="Times New Roman" w:hAnsi="Times New Roman" w:hint="eastAsia"/>
                <w:sz w:val="20"/>
                <w:szCs w:val="20"/>
              </w:rPr>
              <w:t>)</w:t>
            </w:r>
          </w:p>
        </w:tc>
        <w:tc>
          <w:tcPr>
            <w:tcW w:w="3022" w:type="dxa"/>
          </w:tcPr>
          <w:p w:rsidR="00C77B8F" w:rsidRDefault="00F81FA5">
            <w:pPr>
              <w:jc w:val="center"/>
              <w:rPr>
                <w:rFonts w:ascii="Times New Roman" w:hAnsi="Times New Roman"/>
                <w:sz w:val="20"/>
                <w:szCs w:val="20"/>
              </w:rPr>
            </w:pPr>
            <w:r>
              <w:rPr>
                <w:rFonts w:ascii="Times New Roman" w:hAnsi="Times New Roman" w:hint="eastAsia"/>
                <w:sz w:val="20"/>
                <w:szCs w:val="20"/>
              </w:rPr>
              <w:t>13</w:t>
            </w:r>
          </w:p>
        </w:tc>
      </w:tr>
      <w:tr w:rsidR="00C77B8F">
        <w:tc>
          <w:tcPr>
            <w:tcW w:w="2059" w:type="dxa"/>
            <w:vMerge/>
          </w:tcPr>
          <w:p w:rsidR="00C77B8F" w:rsidRDefault="00C77B8F">
            <w:pPr>
              <w:jc w:val="center"/>
              <w:rPr>
                <w:rFonts w:ascii="Times New Roman" w:hAnsi="Times New Roman"/>
                <w:sz w:val="20"/>
                <w:szCs w:val="20"/>
              </w:rPr>
            </w:pPr>
          </w:p>
        </w:tc>
        <w:tc>
          <w:tcPr>
            <w:tcW w:w="1795" w:type="dxa"/>
          </w:tcPr>
          <w:p w:rsidR="00C77B8F" w:rsidRDefault="00F81FA5">
            <w:pPr>
              <w:jc w:val="center"/>
              <w:rPr>
                <w:rFonts w:ascii="Times New Roman" w:hAnsi="Times New Roman"/>
                <w:sz w:val="20"/>
                <w:szCs w:val="20"/>
              </w:rPr>
            </w:pPr>
            <w:r>
              <w:rPr>
                <w:rFonts w:ascii="Times New Roman" w:hAnsi="Times New Roman"/>
                <w:sz w:val="20"/>
                <w:szCs w:val="20"/>
              </w:rPr>
              <w:t>011</w:t>
            </w:r>
          </w:p>
        </w:tc>
        <w:tc>
          <w:tcPr>
            <w:tcW w:w="2323" w:type="dxa"/>
          </w:tcPr>
          <w:p w:rsidR="00C77B8F" w:rsidRDefault="00F81FA5">
            <w:pPr>
              <w:jc w:val="center"/>
              <w:rPr>
                <w:rFonts w:ascii="Times New Roman" w:hAnsi="Times New Roman"/>
                <w:sz w:val="20"/>
                <w:szCs w:val="20"/>
              </w:rPr>
            </w:pPr>
            <w:r>
              <w:rPr>
                <w:rFonts w:ascii="Times New Roman" w:hAnsi="Times New Roman"/>
                <w:sz w:val="20"/>
                <w:szCs w:val="20"/>
              </w:rPr>
              <w:t xml:space="preserve">7 </w:t>
            </w:r>
            <w:r>
              <w:rPr>
                <w:rFonts w:ascii="Times New Roman" w:hAnsi="Times New Roman" w:hint="eastAsia"/>
                <w:sz w:val="20"/>
                <w:szCs w:val="20"/>
              </w:rPr>
              <w:t>(subframes type</w:t>
            </w:r>
            <w:r>
              <w:rPr>
                <w:rFonts w:ascii="Times New Roman" w:hAnsi="Times New Roman"/>
                <w:sz w:val="20"/>
                <w:szCs w:val="20"/>
              </w:rPr>
              <w:t xml:space="preserve"> 2</w:t>
            </w:r>
            <w:r>
              <w:rPr>
                <w:rFonts w:ascii="Times New Roman" w:hAnsi="Times New Roman" w:hint="eastAsia"/>
                <w:sz w:val="20"/>
                <w:szCs w:val="20"/>
              </w:rPr>
              <w:t>)</w:t>
            </w:r>
          </w:p>
        </w:tc>
        <w:tc>
          <w:tcPr>
            <w:tcW w:w="3022" w:type="dxa"/>
          </w:tcPr>
          <w:p w:rsidR="00C77B8F" w:rsidRDefault="00F81FA5">
            <w:pPr>
              <w:jc w:val="center"/>
              <w:rPr>
                <w:rFonts w:ascii="Times New Roman" w:hAnsi="Times New Roman"/>
                <w:sz w:val="20"/>
                <w:szCs w:val="20"/>
              </w:rPr>
            </w:pPr>
            <w:r>
              <w:rPr>
                <w:rFonts w:ascii="Times New Roman" w:hAnsi="Times New Roman" w:hint="eastAsia"/>
                <w:sz w:val="20"/>
                <w:szCs w:val="20"/>
              </w:rPr>
              <w:t>13</w:t>
            </w:r>
          </w:p>
        </w:tc>
      </w:tr>
      <w:tr w:rsidR="00C77B8F">
        <w:tc>
          <w:tcPr>
            <w:tcW w:w="9199" w:type="dxa"/>
            <w:gridSpan w:val="4"/>
          </w:tcPr>
          <w:p w:rsidR="00C77B8F" w:rsidRDefault="00F81FA5">
            <w:pPr>
              <w:jc w:val="center"/>
              <w:rPr>
                <w:rFonts w:ascii="Times New Roman" w:hAnsi="Times New Roman"/>
                <w:sz w:val="20"/>
                <w:szCs w:val="20"/>
              </w:rPr>
            </w:pPr>
            <w:r>
              <w:rPr>
                <w:rFonts w:ascii="Times New Roman" w:hAnsi="Times New Roman" w:hint="eastAsia"/>
                <w:sz w:val="20"/>
                <w:szCs w:val="20"/>
              </w:rPr>
              <w:t xml:space="preserve">Reserved </w:t>
            </w:r>
          </w:p>
        </w:tc>
      </w:tr>
    </w:tbl>
    <w:p w:rsidR="00C77B8F" w:rsidRDefault="00C77B8F">
      <w:pPr>
        <w:spacing w:beforeLines="50" w:before="120" w:after="120"/>
        <w:jc w:val="both"/>
        <w:rPr>
          <w:rFonts w:ascii="Times New Roman" w:hAnsi="Times New Roman"/>
          <w:sz w:val="20"/>
          <w:szCs w:val="20"/>
        </w:rPr>
      </w:pPr>
    </w:p>
    <w:p w:rsidR="00C77B8F" w:rsidRDefault="00F81FA5">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 xml:space="preserve">Proposal 3: 14-HARQ processes </w:t>
      </w:r>
      <w:r>
        <w:rPr>
          <w:rFonts w:ascii="Times New Roman" w:hAnsi="Times New Roman"/>
          <w:b/>
          <w:bCs/>
          <w:i/>
          <w:iCs/>
          <w:sz w:val="20"/>
          <w:szCs w:val="20"/>
        </w:rPr>
        <w:t xml:space="preserve">feature </w:t>
      </w:r>
      <w:r>
        <w:rPr>
          <w:rFonts w:ascii="Times New Roman" w:hAnsi="Times New Roman" w:hint="eastAsia"/>
          <w:b/>
          <w:bCs/>
          <w:i/>
          <w:iCs/>
          <w:sz w:val="20"/>
          <w:szCs w:val="20"/>
        </w:rPr>
        <w:t xml:space="preserve">is not enabled if the repetition is used for PDSCH. </w:t>
      </w:r>
    </w:p>
    <w:p w:rsidR="00C77B8F" w:rsidRDefault="00F81FA5">
      <w:pPr>
        <w:spacing w:beforeLines="50" w:before="120" w:after="240"/>
        <w:jc w:val="both"/>
        <w:rPr>
          <w:rFonts w:ascii="Times New Roman" w:hAnsi="Times New Roman"/>
          <w:b/>
          <w:bCs/>
          <w:i/>
          <w:iCs/>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4: The PDSCH scheduling delay and HARQ-ACK feedback delay can be jointly indicated by repetition number field and HARQ-ACK delay field.</w:t>
      </w:r>
    </w:p>
    <w:p w:rsidR="00C77B8F" w:rsidRDefault="00F81FA5">
      <w:pPr>
        <w:pStyle w:val="2"/>
      </w:pPr>
      <w:r>
        <w:rPr>
          <w:rFonts w:hint="eastAsia"/>
        </w:rPr>
        <w:lastRenderedPageBreak/>
        <w:t>PUCCH repetition</w:t>
      </w:r>
    </w:p>
    <w:p w:rsidR="00C77B8F" w:rsidRDefault="00F81FA5">
      <w:pPr>
        <w:spacing w:beforeLines="50" w:before="120" w:after="120"/>
        <w:jc w:val="both"/>
        <w:rPr>
          <w:rFonts w:ascii="Times New Roman" w:hAnsi="Times New Roman"/>
          <w:sz w:val="20"/>
          <w:szCs w:val="20"/>
        </w:rPr>
      </w:pPr>
      <w:r>
        <w:rPr>
          <w:rFonts w:ascii="Times New Roman" w:hAnsi="Times New Roman"/>
          <w:sz w:val="20"/>
          <w:szCs w:val="20"/>
        </w:rPr>
        <w:t xml:space="preserve">The main purpose of introducing 14-HARQ processes is to improve peak data rate of UE. </w:t>
      </w:r>
      <w:r>
        <w:rPr>
          <w:rFonts w:ascii="Times New Roman" w:hAnsi="Times New Roman" w:hint="eastAsia"/>
          <w:sz w:val="20"/>
          <w:szCs w:val="20"/>
        </w:rPr>
        <w:t>That means t</w:t>
      </w:r>
      <w:r>
        <w:rPr>
          <w:rFonts w:ascii="Times New Roman" w:hAnsi="Times New Roman"/>
          <w:sz w:val="20"/>
          <w:szCs w:val="20"/>
        </w:rPr>
        <w:t>he UE supporting 14-HARQ processes should be a high SNR UE</w:t>
      </w:r>
      <w:r>
        <w:rPr>
          <w:rFonts w:ascii="Times New Roman" w:hAnsi="Times New Roman" w:hint="eastAsia"/>
          <w:sz w:val="20"/>
          <w:szCs w:val="20"/>
        </w:rPr>
        <w:t xml:space="preserve"> and</w:t>
      </w:r>
      <w:r>
        <w:rPr>
          <w:rFonts w:ascii="Times New Roman" w:hAnsi="Times New Roman"/>
          <w:sz w:val="20"/>
          <w:szCs w:val="20"/>
        </w:rPr>
        <w:t xml:space="preserve"> the UE does not need coverage</w:t>
      </w:r>
      <w:r>
        <w:rPr>
          <w:rFonts w:ascii="Times New Roman" w:hAnsi="Times New Roman" w:hint="eastAsia"/>
          <w:sz w:val="20"/>
          <w:szCs w:val="20"/>
        </w:rPr>
        <w:t xml:space="preserve"> and performance</w:t>
      </w:r>
      <w:r>
        <w:rPr>
          <w:rFonts w:ascii="Times New Roman" w:hAnsi="Times New Roman"/>
          <w:sz w:val="20"/>
          <w:szCs w:val="20"/>
        </w:rPr>
        <w:t xml:space="preserve"> enhancement. Therefore, </w:t>
      </w:r>
      <w:r>
        <w:rPr>
          <w:rFonts w:ascii="Times New Roman" w:hAnsi="Times New Roman" w:hint="eastAsia"/>
          <w:sz w:val="20"/>
          <w:szCs w:val="20"/>
        </w:rPr>
        <w:t xml:space="preserve">we propose that </w:t>
      </w:r>
      <w:r>
        <w:rPr>
          <w:rFonts w:ascii="Times New Roman" w:hAnsi="Times New Roman"/>
          <w:sz w:val="20"/>
          <w:szCs w:val="20"/>
        </w:rPr>
        <w:t>PUCCH repetition does not need to be considered if feature of 14-HARQ processes is enabled.</w:t>
      </w:r>
    </w:p>
    <w:p w:rsidR="00C77B8F" w:rsidRDefault="00F81FA5">
      <w:pPr>
        <w:spacing w:beforeLines="50" w:before="120" w:after="240"/>
        <w:rPr>
          <w:rFonts w:ascii="Times New Roman" w:hAnsi="Times New Roman"/>
          <w:b/>
          <w:bCs/>
          <w:i/>
          <w:iCs/>
          <w:sz w:val="20"/>
          <w:szCs w:val="20"/>
        </w:rPr>
      </w:pPr>
      <w:r>
        <w:rPr>
          <w:rFonts w:ascii="Times New Roman" w:hAnsi="Times New Roman"/>
          <w:b/>
          <w:bCs/>
          <w:i/>
          <w:iCs/>
          <w:sz w:val="20"/>
          <w:szCs w:val="20"/>
        </w:rPr>
        <w:t>Proposal</w:t>
      </w:r>
      <w:r>
        <w:rPr>
          <w:rFonts w:ascii="Times New Roman" w:hAnsi="Times New Roman" w:hint="eastAsia"/>
          <w:b/>
          <w:bCs/>
          <w:i/>
          <w:iCs/>
          <w:sz w:val="20"/>
          <w:szCs w:val="20"/>
        </w:rPr>
        <w:t xml:space="preserve"> 5</w:t>
      </w:r>
      <w:r>
        <w:rPr>
          <w:rFonts w:ascii="Times New Roman" w:hAnsi="Times New Roman"/>
          <w:b/>
          <w:bCs/>
          <w:i/>
          <w:iCs/>
          <w:sz w:val="20"/>
          <w:szCs w:val="20"/>
        </w:rPr>
        <w:t>: For 14-HARQ processes, there is no need to consider the case of PUCCH repetition</w:t>
      </w:r>
      <w:r>
        <w:rPr>
          <w:rFonts w:ascii="Times New Roman" w:hAnsi="Times New Roman" w:hint="eastAsia"/>
          <w:b/>
          <w:bCs/>
          <w:i/>
          <w:iCs/>
          <w:sz w:val="20"/>
          <w:szCs w:val="20"/>
        </w:rPr>
        <w:t>.</w:t>
      </w:r>
      <w:r>
        <w:rPr>
          <w:rFonts w:ascii="Times New Roman" w:hAnsi="Times New Roman"/>
          <w:b/>
          <w:bCs/>
          <w:i/>
          <w:iCs/>
          <w:sz w:val="20"/>
          <w:szCs w:val="20"/>
        </w:rPr>
        <w:t xml:space="preserve"> .</w:t>
      </w:r>
    </w:p>
    <w:p w:rsidR="00C77B8F" w:rsidRDefault="00F81FA5">
      <w:pPr>
        <w:pStyle w:val="1"/>
        <w:spacing w:beforeLines="50" w:before="120" w:afterLines="50" w:after="120" w:line="360" w:lineRule="auto"/>
        <w:ind w:left="431" w:hanging="431"/>
        <w:rPr>
          <w:lang w:val="en-US"/>
        </w:rPr>
      </w:pPr>
      <w:r>
        <w:rPr>
          <w:lang w:val="en-US"/>
        </w:rPr>
        <w:t>Conclusions</w:t>
      </w:r>
    </w:p>
    <w:p w:rsidR="00C77B8F" w:rsidRDefault="00F81FA5">
      <w:pPr>
        <w:pStyle w:val="a7"/>
        <w:spacing w:beforeLines="50" w:before="120" w:afterLines="50" w:after="120" w:line="276" w:lineRule="auto"/>
        <w:rPr>
          <w:color w:val="auto"/>
          <w:sz w:val="20"/>
        </w:rPr>
      </w:pPr>
      <w:r>
        <w:rPr>
          <w:rFonts w:hint="eastAsia"/>
          <w:color w:val="auto"/>
          <w:sz w:val="20"/>
        </w:rPr>
        <w:t xml:space="preserve">In this contribution, we have discussed the </w:t>
      </w:r>
      <w:r>
        <w:rPr>
          <w:rFonts w:hint="eastAsia"/>
          <w:color w:val="000000" w:themeColor="text1"/>
          <w:sz w:val="20"/>
        </w:rPr>
        <w:t xml:space="preserve">additional PDSCH scheduling delay </w:t>
      </w:r>
      <w:r>
        <w:rPr>
          <w:color w:val="000000" w:themeColor="text1"/>
          <w:sz w:val="20"/>
        </w:rPr>
        <w:t xml:space="preserve">and related HARQ-ACK delay to support DL </w:t>
      </w:r>
      <w:r>
        <w:rPr>
          <w:rFonts w:eastAsia="等线"/>
          <w:color w:val="000000" w:themeColor="text1"/>
          <w:sz w:val="20"/>
        </w:rPr>
        <w:t>14-HARQ processes for H-FDD</w:t>
      </w:r>
      <w:r>
        <w:rPr>
          <w:color w:val="000000" w:themeColor="text1"/>
          <w:sz w:val="20"/>
        </w:rPr>
        <w:t xml:space="preserve"> LTE-</w:t>
      </w:r>
      <w:r>
        <w:rPr>
          <w:rFonts w:hint="eastAsia"/>
          <w:color w:val="000000" w:themeColor="text1"/>
          <w:sz w:val="20"/>
        </w:rPr>
        <w:t>MTC</w:t>
      </w:r>
      <w:r>
        <w:rPr>
          <w:rFonts w:hint="eastAsia"/>
          <w:color w:val="auto"/>
          <w:sz w:val="20"/>
        </w:rPr>
        <w:t>. We make the following observations and proposals:</w:t>
      </w:r>
    </w:p>
    <w:p w:rsidR="00C77B8F" w:rsidRDefault="00F81FA5">
      <w:pPr>
        <w:spacing w:beforeLines="50" w:before="120" w:after="240"/>
        <w:jc w:val="both"/>
        <w:rPr>
          <w:rFonts w:ascii="Times New Roman" w:hAnsi="Times New Roman"/>
          <w:b/>
          <w:bCs/>
          <w:i/>
          <w:iCs/>
          <w:sz w:val="20"/>
          <w:szCs w:val="20"/>
        </w:rPr>
      </w:pPr>
      <w:r>
        <w:rPr>
          <w:rFonts w:ascii="Times New Roman" w:hAnsi="Times New Roman" w:hint="eastAsia"/>
          <w:b/>
          <w:bCs/>
          <w:i/>
          <w:iCs/>
          <w:sz w:val="20"/>
          <w:szCs w:val="20"/>
        </w:rPr>
        <w:t>Observation 1: The number of supported bundling pattern</w:t>
      </w:r>
      <w:r>
        <w:rPr>
          <w:rFonts w:ascii="Times New Roman" w:hAnsi="Times New Roman"/>
          <w:b/>
          <w:bCs/>
          <w:i/>
          <w:iCs/>
          <w:sz w:val="20"/>
          <w:szCs w:val="20"/>
        </w:rPr>
        <w:t>s for</w:t>
      </w:r>
      <w:r>
        <w:rPr>
          <w:rFonts w:ascii="Times New Roman" w:hAnsi="Times New Roman" w:hint="eastAsia"/>
          <w:b/>
          <w:bCs/>
          <w:i/>
          <w:iCs/>
          <w:sz w:val="20"/>
          <w:szCs w:val="20"/>
        </w:rPr>
        <w:t xml:space="preserve"> 14 HARQ processes should be at least same as legacy UE.</w:t>
      </w:r>
    </w:p>
    <w:p w:rsidR="00C77B8F" w:rsidRDefault="00F81FA5">
      <w:pPr>
        <w:spacing w:beforeLines="50" w:before="120" w:after="120"/>
        <w:rPr>
          <w:rFonts w:ascii="Times New Roman" w:hAnsi="Times New Roman"/>
          <w:b/>
          <w:bCs/>
          <w:i/>
          <w:iCs/>
          <w:sz w:val="20"/>
          <w:szCs w:val="20"/>
        </w:rPr>
      </w:pPr>
      <w:r>
        <w:rPr>
          <w:rFonts w:ascii="Times New Roman" w:hAnsi="Times New Roman"/>
          <w:b/>
          <w:bCs/>
          <w:i/>
          <w:iCs/>
          <w:sz w:val="20"/>
          <w:szCs w:val="20"/>
        </w:rPr>
        <w:t>Proposal 1</w:t>
      </w:r>
      <w:r>
        <w:rPr>
          <w:rFonts w:ascii="Times New Roman" w:hAnsi="Times New Roman" w:hint="eastAsia"/>
          <w:b/>
          <w:bCs/>
          <w:i/>
          <w:iCs/>
          <w:sz w:val="20"/>
          <w:szCs w:val="20"/>
        </w:rPr>
        <w:t xml:space="preserve">: </w:t>
      </w:r>
      <w:r>
        <w:rPr>
          <w:rFonts w:ascii="Times New Roman" w:hAnsi="Times New Roman"/>
          <w:b/>
          <w:bCs/>
          <w:i/>
          <w:iCs/>
          <w:sz w:val="20"/>
          <w:szCs w:val="20"/>
        </w:rPr>
        <w:t xml:space="preserve">Two subframes types should be </w:t>
      </w:r>
      <w:r>
        <w:rPr>
          <w:rFonts w:ascii="Times New Roman" w:hAnsi="Times New Roman" w:hint="eastAsia"/>
          <w:b/>
          <w:bCs/>
          <w:i/>
          <w:iCs/>
          <w:sz w:val="20"/>
          <w:szCs w:val="20"/>
        </w:rPr>
        <w:t>supported</w:t>
      </w:r>
      <w:r>
        <w:rPr>
          <w:rFonts w:ascii="Times New Roman" w:hAnsi="Times New Roman"/>
          <w:b/>
          <w:bCs/>
          <w:i/>
          <w:iCs/>
          <w:sz w:val="20"/>
          <w:szCs w:val="20"/>
        </w:rPr>
        <w:t xml:space="preserve"> when the value of PDSCH scheduling delay is 7.</w:t>
      </w:r>
    </w:p>
    <w:p w:rsidR="00C77B8F" w:rsidRDefault="00F81FA5">
      <w:pPr>
        <w:pStyle w:val="afa"/>
        <w:numPr>
          <w:ilvl w:val="0"/>
          <w:numId w:val="3"/>
        </w:numPr>
        <w:spacing w:beforeLines="50" w:before="120" w:after="120"/>
        <w:ind w:firstLineChars="0" w:hanging="278"/>
        <w:rPr>
          <w:rFonts w:ascii="Times New Roman" w:hAnsi="Times New Roman"/>
          <w:b/>
          <w:i/>
          <w:sz w:val="20"/>
          <w:szCs w:val="20"/>
        </w:rPr>
      </w:pPr>
      <w:r>
        <w:rPr>
          <w:rFonts w:ascii="Times New Roman" w:hAnsi="Times New Roman"/>
          <w:b/>
          <w:i/>
          <w:sz w:val="20"/>
          <w:szCs w:val="20"/>
        </w:rPr>
        <w:t>s</w:t>
      </w:r>
      <w:r>
        <w:rPr>
          <w:rFonts w:ascii="Times New Roman" w:hAnsi="Times New Roman" w:hint="eastAsia"/>
          <w:b/>
          <w:i/>
          <w:sz w:val="20"/>
          <w:szCs w:val="20"/>
        </w:rPr>
        <w:t xml:space="preserve">ubframes type </w:t>
      </w:r>
      <w:r>
        <w:rPr>
          <w:rFonts w:ascii="Times New Roman" w:hAnsi="Times New Roman"/>
          <w:b/>
          <w:i/>
          <w:sz w:val="20"/>
          <w:szCs w:val="20"/>
        </w:rPr>
        <w:t xml:space="preserve">1: 1 BL/CE </w:t>
      </w:r>
      <w:r>
        <w:rPr>
          <w:rFonts w:ascii="Times New Roman" w:hAnsi="Times New Roman" w:hint="eastAsia"/>
          <w:b/>
          <w:i/>
          <w:sz w:val="20"/>
          <w:szCs w:val="20"/>
        </w:rPr>
        <w:t>DL</w:t>
      </w:r>
      <w:r>
        <w:rPr>
          <w:rFonts w:ascii="Times New Roman" w:hAnsi="Times New Roman"/>
          <w:b/>
          <w:i/>
          <w:sz w:val="20"/>
          <w:szCs w:val="20"/>
        </w:rPr>
        <w:t xml:space="preserve"> subframe + 1 subframe + 3 BL/CE </w:t>
      </w:r>
      <w:r>
        <w:rPr>
          <w:rFonts w:ascii="Times New Roman" w:hAnsi="Times New Roman" w:hint="eastAsia"/>
          <w:b/>
          <w:i/>
          <w:sz w:val="20"/>
          <w:szCs w:val="20"/>
        </w:rPr>
        <w:t>UL</w:t>
      </w:r>
      <w:r>
        <w:rPr>
          <w:rFonts w:ascii="Times New Roman" w:hAnsi="Times New Roman"/>
          <w:b/>
          <w:i/>
          <w:sz w:val="20"/>
          <w:szCs w:val="20"/>
        </w:rPr>
        <w:t xml:space="preserve"> subframe</w:t>
      </w:r>
      <w:r>
        <w:rPr>
          <w:rFonts w:ascii="Times New Roman" w:hAnsi="Times New Roman" w:hint="eastAsia"/>
          <w:b/>
          <w:i/>
          <w:sz w:val="20"/>
          <w:szCs w:val="20"/>
        </w:rPr>
        <w:t>s</w:t>
      </w:r>
      <w:r>
        <w:rPr>
          <w:rFonts w:ascii="Times New Roman" w:hAnsi="Times New Roman"/>
          <w:b/>
          <w:i/>
          <w:sz w:val="20"/>
          <w:szCs w:val="20"/>
        </w:rPr>
        <w:t xml:space="preserve"> + 1 subframe</w:t>
      </w:r>
      <w:r>
        <w:rPr>
          <w:rFonts w:ascii="Times New Roman" w:hAnsi="Times New Roman" w:hint="eastAsia"/>
          <w:b/>
          <w:i/>
          <w:sz w:val="20"/>
          <w:szCs w:val="20"/>
        </w:rPr>
        <w:t xml:space="preserve"> </w:t>
      </w:r>
      <w:r>
        <w:rPr>
          <w:rFonts w:ascii="Times New Roman" w:hAnsi="Times New Roman"/>
          <w:b/>
          <w:i/>
          <w:sz w:val="20"/>
          <w:szCs w:val="20"/>
        </w:rPr>
        <w:t xml:space="preserve">+ </w:t>
      </w:r>
      <w:r>
        <w:rPr>
          <w:rFonts w:ascii="Times New Roman" w:hAnsi="Times New Roman" w:hint="eastAsia"/>
          <w:b/>
          <w:i/>
          <w:sz w:val="20"/>
          <w:szCs w:val="20"/>
        </w:rPr>
        <w:t>1 BL/CE DL subframe</w:t>
      </w:r>
    </w:p>
    <w:p w:rsidR="00C77B8F" w:rsidRDefault="00F81FA5">
      <w:pPr>
        <w:pStyle w:val="afa"/>
        <w:numPr>
          <w:ilvl w:val="0"/>
          <w:numId w:val="3"/>
        </w:numPr>
        <w:spacing w:beforeLines="50" w:before="120" w:after="240"/>
        <w:ind w:firstLineChars="0" w:hanging="278"/>
        <w:rPr>
          <w:rFonts w:ascii="Times New Roman" w:hAnsi="Times New Roman"/>
          <w:sz w:val="20"/>
          <w:szCs w:val="20"/>
        </w:rPr>
      </w:pPr>
      <w:r>
        <w:rPr>
          <w:rFonts w:ascii="Times New Roman" w:hAnsi="Times New Roman"/>
          <w:b/>
          <w:i/>
          <w:sz w:val="20"/>
          <w:szCs w:val="20"/>
        </w:rPr>
        <w:t xml:space="preserve">subframes type 2: </w:t>
      </w:r>
      <w:r>
        <w:rPr>
          <w:rFonts w:ascii="Times New Roman" w:hAnsi="Times New Roman" w:hint="eastAsia"/>
          <w:b/>
          <w:i/>
          <w:sz w:val="20"/>
          <w:szCs w:val="20"/>
        </w:rPr>
        <w:t>1 subframe</w:t>
      </w:r>
      <w:r>
        <w:rPr>
          <w:rFonts w:ascii="Times New Roman" w:hAnsi="Times New Roman"/>
          <w:b/>
          <w:i/>
          <w:sz w:val="20"/>
          <w:szCs w:val="20"/>
        </w:rPr>
        <w:t xml:space="preserve"> +</w:t>
      </w:r>
      <w:r>
        <w:rPr>
          <w:rFonts w:ascii="Times New Roman" w:hAnsi="Times New Roman" w:hint="eastAsia"/>
          <w:b/>
          <w:i/>
          <w:sz w:val="20"/>
          <w:szCs w:val="20"/>
        </w:rPr>
        <w:t xml:space="preserve"> 3 BL/CE UL subframes</w:t>
      </w:r>
      <w:r>
        <w:rPr>
          <w:rFonts w:ascii="Times New Roman" w:hAnsi="Times New Roman"/>
          <w:b/>
          <w:i/>
          <w:sz w:val="20"/>
          <w:szCs w:val="20"/>
        </w:rPr>
        <w:t xml:space="preserve"> +</w:t>
      </w:r>
      <w:r>
        <w:rPr>
          <w:rFonts w:ascii="Times New Roman" w:hAnsi="Times New Roman" w:hint="eastAsia"/>
          <w:b/>
          <w:i/>
          <w:sz w:val="20"/>
          <w:szCs w:val="20"/>
        </w:rPr>
        <w:t xml:space="preserve"> 1 subframe </w:t>
      </w:r>
      <w:r>
        <w:rPr>
          <w:rFonts w:ascii="Times New Roman" w:hAnsi="Times New Roman"/>
          <w:b/>
          <w:i/>
          <w:sz w:val="20"/>
          <w:szCs w:val="20"/>
        </w:rPr>
        <w:t xml:space="preserve">+ </w:t>
      </w:r>
      <w:r>
        <w:rPr>
          <w:rFonts w:ascii="Times New Roman" w:hAnsi="Times New Roman" w:hint="eastAsia"/>
          <w:b/>
          <w:i/>
          <w:sz w:val="20"/>
          <w:szCs w:val="20"/>
        </w:rPr>
        <w:t>2 BL/CE DL subframes</w:t>
      </w:r>
    </w:p>
    <w:p w:rsidR="00C77B8F" w:rsidRDefault="00F81FA5">
      <w:pPr>
        <w:ind w:left="-1"/>
        <w:rPr>
          <w:rFonts w:ascii="Times New Roman" w:hAnsi="Times New Roman"/>
          <w:b/>
          <w:bCs/>
          <w:i/>
          <w:iCs/>
          <w:sz w:val="20"/>
          <w:szCs w:val="20"/>
        </w:rPr>
      </w:pPr>
      <w:r>
        <w:rPr>
          <w:rFonts w:ascii="Times New Roman" w:hAnsi="Times New Roman"/>
          <w:b/>
          <w:bCs/>
          <w:i/>
          <w:iCs/>
          <w:sz w:val="20"/>
          <w:szCs w:val="20"/>
        </w:rPr>
        <w:t>Proposal</w:t>
      </w:r>
      <w:r>
        <w:rPr>
          <w:rFonts w:ascii="Times New Roman" w:hAnsi="Times New Roman" w:hint="eastAsia"/>
          <w:b/>
          <w:bCs/>
          <w:i/>
          <w:iCs/>
          <w:sz w:val="20"/>
          <w:szCs w:val="20"/>
        </w:rPr>
        <w:t xml:space="preserve"> </w:t>
      </w:r>
      <w:r>
        <w:rPr>
          <w:rFonts w:ascii="Times New Roman" w:hAnsi="Times New Roman"/>
          <w:b/>
          <w:bCs/>
          <w:i/>
          <w:iCs/>
          <w:sz w:val="20"/>
          <w:szCs w:val="20"/>
        </w:rPr>
        <w:t>2</w:t>
      </w:r>
      <w:r>
        <w:rPr>
          <w:rFonts w:ascii="Times New Roman" w:hAnsi="Times New Roman" w:hint="eastAsia"/>
          <w:b/>
          <w:bCs/>
          <w:i/>
          <w:iCs/>
          <w:sz w:val="20"/>
          <w:szCs w:val="20"/>
        </w:rPr>
        <w:t xml:space="preserve">: </w:t>
      </w:r>
      <w:r>
        <w:rPr>
          <w:rFonts w:ascii="Times New Roman" w:hAnsi="Times New Roman"/>
          <w:b/>
          <w:bCs/>
          <w:i/>
          <w:iCs/>
          <w:sz w:val="20"/>
          <w:szCs w:val="20"/>
        </w:rPr>
        <w:t xml:space="preserve">Both explicit and implicit methods for determining subframes type </w:t>
      </w:r>
      <w:r w:rsidR="00137FC7">
        <w:rPr>
          <w:rFonts w:ascii="Times New Roman" w:hAnsi="Times New Roman"/>
          <w:b/>
          <w:bCs/>
          <w:i/>
          <w:iCs/>
          <w:sz w:val="20"/>
          <w:szCs w:val="20"/>
        </w:rPr>
        <w:t xml:space="preserve">can </w:t>
      </w:r>
      <w:r>
        <w:rPr>
          <w:rFonts w:ascii="Times New Roman" w:hAnsi="Times New Roman"/>
          <w:b/>
          <w:bCs/>
          <w:i/>
          <w:iCs/>
          <w:sz w:val="20"/>
          <w:szCs w:val="20"/>
        </w:rPr>
        <w:t>be considered when the value of PDSCH scheduling delay is 7.</w:t>
      </w:r>
    </w:p>
    <w:p w:rsidR="00C77B8F" w:rsidRDefault="00F81FA5">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Proposal 3: 14-HARQ processes</w:t>
      </w:r>
      <w:r>
        <w:rPr>
          <w:rFonts w:ascii="Times New Roman" w:hAnsi="Times New Roman"/>
          <w:b/>
          <w:bCs/>
          <w:i/>
          <w:iCs/>
          <w:sz w:val="20"/>
          <w:szCs w:val="20"/>
        </w:rPr>
        <w:t xml:space="preserve"> feature</w:t>
      </w:r>
      <w:r>
        <w:rPr>
          <w:rFonts w:ascii="Times New Roman" w:hAnsi="Times New Roman" w:hint="eastAsia"/>
          <w:b/>
          <w:bCs/>
          <w:i/>
          <w:iCs/>
          <w:sz w:val="20"/>
          <w:szCs w:val="20"/>
        </w:rPr>
        <w:t xml:space="preserve"> is not enabled if the repetition is used for PDSCH. </w:t>
      </w:r>
    </w:p>
    <w:p w:rsidR="00C77B8F" w:rsidRDefault="00F81FA5">
      <w:pPr>
        <w:spacing w:beforeLines="50" w:before="120" w:after="120"/>
        <w:jc w:val="both"/>
        <w:rPr>
          <w:rFonts w:ascii="Times New Roman" w:hAnsi="Times New Roman"/>
          <w:b/>
          <w:bCs/>
          <w:i/>
          <w:iCs/>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4: The PDSCH scheduling delay and HARQ-ACK feedback delay can be jointly indicated by repetition number field and HARQ-ACK delay field.</w:t>
      </w:r>
    </w:p>
    <w:p w:rsidR="00C77B8F" w:rsidRDefault="00F81FA5">
      <w:pPr>
        <w:rPr>
          <w:rFonts w:ascii="Times New Roman" w:hAnsi="Times New Roman"/>
          <w:b/>
          <w:bCs/>
          <w:i/>
          <w:iCs/>
          <w:sz w:val="20"/>
          <w:szCs w:val="20"/>
        </w:rPr>
      </w:pPr>
      <w:r>
        <w:rPr>
          <w:rFonts w:ascii="Times New Roman" w:hAnsi="Times New Roman"/>
          <w:b/>
          <w:bCs/>
          <w:i/>
          <w:iCs/>
          <w:sz w:val="20"/>
          <w:szCs w:val="20"/>
        </w:rPr>
        <w:t>Proposal</w:t>
      </w:r>
      <w:r>
        <w:rPr>
          <w:rFonts w:ascii="Times New Roman" w:hAnsi="Times New Roman" w:hint="eastAsia"/>
          <w:b/>
          <w:bCs/>
          <w:i/>
          <w:iCs/>
          <w:sz w:val="20"/>
          <w:szCs w:val="20"/>
        </w:rPr>
        <w:t xml:space="preserve"> 5</w:t>
      </w:r>
      <w:r>
        <w:rPr>
          <w:rFonts w:ascii="Times New Roman" w:hAnsi="Times New Roman"/>
          <w:b/>
          <w:bCs/>
          <w:i/>
          <w:iCs/>
          <w:sz w:val="20"/>
          <w:szCs w:val="20"/>
        </w:rPr>
        <w:t>: For 14-HARQ processes, there is no need to consider the case of PUCCH repetition.</w:t>
      </w:r>
    </w:p>
    <w:p w:rsidR="00C77B8F" w:rsidRDefault="00F81FA5">
      <w:pPr>
        <w:pStyle w:val="1"/>
        <w:numPr>
          <w:ilvl w:val="0"/>
          <w:numId w:val="0"/>
        </w:numPr>
        <w:spacing w:beforeLines="50" w:before="120" w:afterLines="50" w:after="120" w:line="360" w:lineRule="auto"/>
        <w:ind w:left="431" w:hanging="431"/>
        <w:rPr>
          <w:lang w:val="en-US"/>
        </w:rPr>
      </w:pPr>
      <w:bookmarkStart w:id="10" w:name="OLE_LINK10"/>
      <w:bookmarkStart w:id="11" w:name="OLE_LINK11"/>
      <w:r>
        <w:rPr>
          <w:lang w:val="en-US"/>
        </w:rPr>
        <w:t>References</w:t>
      </w:r>
    </w:p>
    <w:bookmarkEnd w:id="10"/>
    <w:bookmarkEnd w:id="11"/>
    <w:p w:rsidR="00C77B8F" w:rsidRDefault="00F81FA5">
      <w:pPr>
        <w:pStyle w:val="References"/>
        <w:numPr>
          <w:ilvl w:val="0"/>
          <w:numId w:val="4"/>
        </w:numPr>
        <w:spacing w:beforeLines="0" w:before="0" w:afterLines="0" w:after="0" w:line="240" w:lineRule="auto"/>
        <w:rPr>
          <w:rFonts w:ascii="Times New Roman" w:hAnsi="Times New Roman"/>
          <w:kern w:val="0"/>
          <w:sz w:val="20"/>
          <w:szCs w:val="22"/>
        </w:rPr>
      </w:pPr>
      <w:r>
        <w:rPr>
          <w:rFonts w:ascii="Times New Roman" w:hAnsi="Times New Roman" w:hint="eastAsia"/>
          <w:kern w:val="0"/>
          <w:sz w:val="20"/>
          <w:szCs w:val="22"/>
        </w:rPr>
        <w:t>3GPP, RAN1 Chairman</w:t>
      </w:r>
      <w:r>
        <w:rPr>
          <w:rFonts w:ascii="Times New Roman" w:hAnsi="Times New Roman"/>
          <w:kern w:val="0"/>
          <w:sz w:val="20"/>
          <w:szCs w:val="22"/>
        </w:rPr>
        <w:t>’s</w:t>
      </w:r>
      <w:r>
        <w:rPr>
          <w:rFonts w:ascii="Times New Roman" w:hAnsi="Times New Roman" w:hint="eastAsia"/>
          <w:kern w:val="0"/>
          <w:sz w:val="20"/>
          <w:szCs w:val="22"/>
        </w:rPr>
        <w:t xml:space="preserve"> Notes, RAN1 #102-e</w:t>
      </w:r>
    </w:p>
    <w:p w:rsidR="00C77B8F" w:rsidRDefault="00F81FA5">
      <w:r>
        <w:rPr>
          <w:rFonts w:ascii="Times New Roman" w:hAnsi="Times New Roman" w:hint="eastAsia"/>
          <w:sz w:val="20"/>
        </w:rPr>
        <w:t>[2]  3GPP, R1-1912694, Increased peak data rate for HD-FDD MTC UEs, Qualcomm Incorporated, Orange, Sierra Wireless, Verizon, Ericsson, Sequans, Nokia, Nokia Shanghai Bell, RAN1#99</w:t>
      </w:r>
    </w:p>
    <w:p w:rsidR="00C77B8F" w:rsidRDefault="00C77B8F">
      <w:pPr>
        <w:jc w:val="center"/>
      </w:pPr>
    </w:p>
    <w:sectPr w:rsidR="00C77B8F">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B45" w:rsidRDefault="00726B45" w:rsidP="00137FC7">
      <w:pPr>
        <w:spacing w:after="0" w:line="240" w:lineRule="auto"/>
      </w:pPr>
      <w:r>
        <w:separator/>
      </w:r>
    </w:p>
  </w:endnote>
  <w:endnote w:type="continuationSeparator" w:id="0">
    <w:p w:rsidR="00726B45" w:rsidRDefault="00726B45" w:rsidP="00137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B45" w:rsidRDefault="00726B45" w:rsidP="00137FC7">
      <w:pPr>
        <w:spacing w:after="0" w:line="240" w:lineRule="auto"/>
      </w:pPr>
      <w:r>
        <w:separator/>
      </w:r>
    </w:p>
  </w:footnote>
  <w:footnote w:type="continuationSeparator" w:id="0">
    <w:p w:rsidR="00726B45" w:rsidRDefault="00726B45" w:rsidP="00137F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E93A1C"/>
    <w:multiLevelType w:val="multilevel"/>
    <w:tmpl w:val="33E93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B786EA5"/>
    <w:multiLevelType w:val="multilevel"/>
    <w:tmpl w:val="4B786EA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BF77431"/>
    <w:multiLevelType w:val="multilevel"/>
    <w:tmpl w:val="7BF77431"/>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GrammaticalErrors/>
  <w:proofState w:spelling="clean" w:grammar="clean"/>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E06"/>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C97"/>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9E3"/>
    <w:rsid w:val="00082A2D"/>
    <w:rsid w:val="00082B43"/>
    <w:rsid w:val="00082B44"/>
    <w:rsid w:val="00082C05"/>
    <w:rsid w:val="00082D7F"/>
    <w:rsid w:val="00082E4E"/>
    <w:rsid w:val="00083074"/>
    <w:rsid w:val="000830B1"/>
    <w:rsid w:val="0008320F"/>
    <w:rsid w:val="000833AE"/>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7A5"/>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111"/>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8F4"/>
    <w:rsid w:val="00106B53"/>
    <w:rsid w:val="00107175"/>
    <w:rsid w:val="00107183"/>
    <w:rsid w:val="00107BE0"/>
    <w:rsid w:val="00110103"/>
    <w:rsid w:val="001101EA"/>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6B"/>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37FC7"/>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4049"/>
    <w:rsid w:val="001541B6"/>
    <w:rsid w:val="001545E9"/>
    <w:rsid w:val="001545F9"/>
    <w:rsid w:val="00154913"/>
    <w:rsid w:val="00154CC4"/>
    <w:rsid w:val="0015525E"/>
    <w:rsid w:val="001553BC"/>
    <w:rsid w:val="00155887"/>
    <w:rsid w:val="001559B4"/>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3D"/>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7EA"/>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B84"/>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4A13"/>
    <w:rsid w:val="001D5020"/>
    <w:rsid w:val="001D5024"/>
    <w:rsid w:val="001D502E"/>
    <w:rsid w:val="001D55C7"/>
    <w:rsid w:val="001D5632"/>
    <w:rsid w:val="001D586F"/>
    <w:rsid w:val="001D5973"/>
    <w:rsid w:val="001D5A44"/>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52"/>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DA"/>
    <w:rsid w:val="002049FA"/>
    <w:rsid w:val="00204EBE"/>
    <w:rsid w:val="00204EE8"/>
    <w:rsid w:val="002053FA"/>
    <w:rsid w:val="00205C1A"/>
    <w:rsid w:val="00205FF6"/>
    <w:rsid w:val="0020611C"/>
    <w:rsid w:val="00206893"/>
    <w:rsid w:val="00206A77"/>
    <w:rsid w:val="00207603"/>
    <w:rsid w:val="00207855"/>
    <w:rsid w:val="00207908"/>
    <w:rsid w:val="00207A98"/>
    <w:rsid w:val="00207F1E"/>
    <w:rsid w:val="002104D8"/>
    <w:rsid w:val="00210532"/>
    <w:rsid w:val="00210FD8"/>
    <w:rsid w:val="0021138D"/>
    <w:rsid w:val="00211512"/>
    <w:rsid w:val="0021195E"/>
    <w:rsid w:val="00211CEC"/>
    <w:rsid w:val="00211E00"/>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6BB9"/>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0EC"/>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4BB2"/>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131"/>
    <w:rsid w:val="0029056E"/>
    <w:rsid w:val="002909D7"/>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3E2"/>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5A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0EE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8BB"/>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12"/>
    <w:rsid w:val="00321492"/>
    <w:rsid w:val="00321525"/>
    <w:rsid w:val="00321548"/>
    <w:rsid w:val="00321B1F"/>
    <w:rsid w:val="00321EAF"/>
    <w:rsid w:val="00322180"/>
    <w:rsid w:val="003221B5"/>
    <w:rsid w:val="00322261"/>
    <w:rsid w:val="0032236F"/>
    <w:rsid w:val="00322531"/>
    <w:rsid w:val="003228D4"/>
    <w:rsid w:val="003232E0"/>
    <w:rsid w:val="003237A4"/>
    <w:rsid w:val="0032388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633"/>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CB2"/>
    <w:rsid w:val="00364F0F"/>
    <w:rsid w:val="00365014"/>
    <w:rsid w:val="00365200"/>
    <w:rsid w:val="00365843"/>
    <w:rsid w:val="003658A6"/>
    <w:rsid w:val="00365A30"/>
    <w:rsid w:val="003660C7"/>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6FA1"/>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1EBF"/>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269"/>
    <w:rsid w:val="00425373"/>
    <w:rsid w:val="004255A5"/>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E6E"/>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1B43"/>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D6"/>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BF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5BA"/>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8E0"/>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2BC"/>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671"/>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295"/>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35"/>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989"/>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C74"/>
    <w:rsid w:val="00607D63"/>
    <w:rsid w:val="00607FE2"/>
    <w:rsid w:val="00610050"/>
    <w:rsid w:val="00610150"/>
    <w:rsid w:val="0061037C"/>
    <w:rsid w:val="00610653"/>
    <w:rsid w:val="006108AB"/>
    <w:rsid w:val="00610AB5"/>
    <w:rsid w:val="00610D5D"/>
    <w:rsid w:val="00610F83"/>
    <w:rsid w:val="00611758"/>
    <w:rsid w:val="006118FE"/>
    <w:rsid w:val="006119A3"/>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C33"/>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74A"/>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7EF"/>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38A"/>
    <w:rsid w:val="006C2585"/>
    <w:rsid w:val="006C28CB"/>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75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B45"/>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8C1"/>
    <w:rsid w:val="00797B8E"/>
    <w:rsid w:val="00797E30"/>
    <w:rsid w:val="00797F7E"/>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D9C"/>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3C8"/>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3D1"/>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1D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338"/>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0BA"/>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22F"/>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85C"/>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C90"/>
    <w:rsid w:val="008667AB"/>
    <w:rsid w:val="008667DD"/>
    <w:rsid w:val="00866A14"/>
    <w:rsid w:val="00866AEC"/>
    <w:rsid w:val="00866EA5"/>
    <w:rsid w:val="0086785B"/>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39"/>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95"/>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5F98"/>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149"/>
    <w:rsid w:val="009034FC"/>
    <w:rsid w:val="009036A2"/>
    <w:rsid w:val="0090375A"/>
    <w:rsid w:val="00903C02"/>
    <w:rsid w:val="00903CFB"/>
    <w:rsid w:val="00903D6F"/>
    <w:rsid w:val="00904081"/>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1FBB"/>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DB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37FAA"/>
    <w:rsid w:val="0094056A"/>
    <w:rsid w:val="0094098F"/>
    <w:rsid w:val="00940ACB"/>
    <w:rsid w:val="00941287"/>
    <w:rsid w:val="00941430"/>
    <w:rsid w:val="009417A9"/>
    <w:rsid w:val="00941D8B"/>
    <w:rsid w:val="009421ED"/>
    <w:rsid w:val="00942809"/>
    <w:rsid w:val="00942B7C"/>
    <w:rsid w:val="00942EE6"/>
    <w:rsid w:val="00942F41"/>
    <w:rsid w:val="00943004"/>
    <w:rsid w:val="009432CA"/>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A6"/>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C12"/>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E4"/>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699"/>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935"/>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2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9F7F19"/>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EE4"/>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4CDE"/>
    <w:rsid w:val="00A34F72"/>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5CA"/>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23"/>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1FEE"/>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DE1"/>
    <w:rsid w:val="00AD3F0E"/>
    <w:rsid w:val="00AD4269"/>
    <w:rsid w:val="00AD4312"/>
    <w:rsid w:val="00AD4364"/>
    <w:rsid w:val="00AD4394"/>
    <w:rsid w:val="00AD4439"/>
    <w:rsid w:val="00AD4AF6"/>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56"/>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03A"/>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72C"/>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34F"/>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5A9D"/>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212"/>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63"/>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D06"/>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5D3"/>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1DB3"/>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42"/>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20C"/>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536"/>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1FC"/>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6CC"/>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3B0"/>
    <w:rsid w:val="00C7666B"/>
    <w:rsid w:val="00C769A9"/>
    <w:rsid w:val="00C76AD1"/>
    <w:rsid w:val="00C76C3A"/>
    <w:rsid w:val="00C77731"/>
    <w:rsid w:val="00C779E4"/>
    <w:rsid w:val="00C77B8F"/>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449"/>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DA8"/>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397"/>
    <w:rsid w:val="00CF6666"/>
    <w:rsid w:val="00CF69E7"/>
    <w:rsid w:val="00CF6B6B"/>
    <w:rsid w:val="00CF708C"/>
    <w:rsid w:val="00CF73B4"/>
    <w:rsid w:val="00CF7699"/>
    <w:rsid w:val="00CF76A4"/>
    <w:rsid w:val="00CF7713"/>
    <w:rsid w:val="00CF79FB"/>
    <w:rsid w:val="00CF7C58"/>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302"/>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142"/>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2EC"/>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BF6"/>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1B"/>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303"/>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4D0"/>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3E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154"/>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18"/>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6F7"/>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2D9"/>
    <w:rsid w:val="00EC137B"/>
    <w:rsid w:val="00EC16BC"/>
    <w:rsid w:val="00EC1F38"/>
    <w:rsid w:val="00EC228D"/>
    <w:rsid w:val="00EC229C"/>
    <w:rsid w:val="00EC22F8"/>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7A6"/>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5791"/>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69A9"/>
    <w:rsid w:val="00F0721F"/>
    <w:rsid w:val="00F075F9"/>
    <w:rsid w:val="00F07649"/>
    <w:rsid w:val="00F07B85"/>
    <w:rsid w:val="00F07F5F"/>
    <w:rsid w:val="00F10054"/>
    <w:rsid w:val="00F1071C"/>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A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4EC"/>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A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64A"/>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0EA"/>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5656"/>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A2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1"/>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4CE"/>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0EFB"/>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167"/>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E1166"/>
    <w:rsid w:val="018514E9"/>
    <w:rsid w:val="02204A72"/>
    <w:rsid w:val="023B63C3"/>
    <w:rsid w:val="026E563A"/>
    <w:rsid w:val="0310478B"/>
    <w:rsid w:val="032016B7"/>
    <w:rsid w:val="032E088C"/>
    <w:rsid w:val="033B30AE"/>
    <w:rsid w:val="034728E2"/>
    <w:rsid w:val="03F87400"/>
    <w:rsid w:val="03FF53D8"/>
    <w:rsid w:val="04002878"/>
    <w:rsid w:val="042B3B27"/>
    <w:rsid w:val="04453391"/>
    <w:rsid w:val="04873CA1"/>
    <w:rsid w:val="052E3B81"/>
    <w:rsid w:val="053E675B"/>
    <w:rsid w:val="054A7083"/>
    <w:rsid w:val="056C274E"/>
    <w:rsid w:val="05A439CA"/>
    <w:rsid w:val="05A91E7B"/>
    <w:rsid w:val="05A9411D"/>
    <w:rsid w:val="05CE0B59"/>
    <w:rsid w:val="05F467D5"/>
    <w:rsid w:val="06153556"/>
    <w:rsid w:val="062F2746"/>
    <w:rsid w:val="063167FC"/>
    <w:rsid w:val="06330359"/>
    <w:rsid w:val="06647CA3"/>
    <w:rsid w:val="06843231"/>
    <w:rsid w:val="06A47C47"/>
    <w:rsid w:val="06AA59AC"/>
    <w:rsid w:val="06AF6667"/>
    <w:rsid w:val="06BC6525"/>
    <w:rsid w:val="06D92C9B"/>
    <w:rsid w:val="06DD0134"/>
    <w:rsid w:val="06EA3847"/>
    <w:rsid w:val="06F9228B"/>
    <w:rsid w:val="072569DE"/>
    <w:rsid w:val="0728394D"/>
    <w:rsid w:val="07336188"/>
    <w:rsid w:val="073E4FD9"/>
    <w:rsid w:val="07686409"/>
    <w:rsid w:val="079A1B8C"/>
    <w:rsid w:val="08161095"/>
    <w:rsid w:val="085347E8"/>
    <w:rsid w:val="08575E06"/>
    <w:rsid w:val="08990731"/>
    <w:rsid w:val="08A14BCF"/>
    <w:rsid w:val="08C85848"/>
    <w:rsid w:val="08CB78C8"/>
    <w:rsid w:val="0906064F"/>
    <w:rsid w:val="09096390"/>
    <w:rsid w:val="099172A3"/>
    <w:rsid w:val="09A30D74"/>
    <w:rsid w:val="09B67622"/>
    <w:rsid w:val="09E26D1A"/>
    <w:rsid w:val="0A3C68FF"/>
    <w:rsid w:val="0A6D5379"/>
    <w:rsid w:val="0AB03AD5"/>
    <w:rsid w:val="0AE062D0"/>
    <w:rsid w:val="0AE11E39"/>
    <w:rsid w:val="0B101DBF"/>
    <w:rsid w:val="0B545948"/>
    <w:rsid w:val="0B564E9B"/>
    <w:rsid w:val="0B6F5769"/>
    <w:rsid w:val="0BF73AFE"/>
    <w:rsid w:val="0C3067A1"/>
    <w:rsid w:val="0C6E2679"/>
    <w:rsid w:val="0C9D0B38"/>
    <w:rsid w:val="0CE14F0D"/>
    <w:rsid w:val="0D266067"/>
    <w:rsid w:val="0D355BBB"/>
    <w:rsid w:val="0D4769C6"/>
    <w:rsid w:val="0D657BD1"/>
    <w:rsid w:val="0D660617"/>
    <w:rsid w:val="0D711102"/>
    <w:rsid w:val="0D8A5558"/>
    <w:rsid w:val="0DA40A51"/>
    <w:rsid w:val="0DBC53F4"/>
    <w:rsid w:val="0E3809C8"/>
    <w:rsid w:val="0EF377A7"/>
    <w:rsid w:val="0F2249EF"/>
    <w:rsid w:val="0F5E192C"/>
    <w:rsid w:val="0F69004C"/>
    <w:rsid w:val="0F7650B3"/>
    <w:rsid w:val="0F891395"/>
    <w:rsid w:val="0F8B4E15"/>
    <w:rsid w:val="0F9A3B81"/>
    <w:rsid w:val="0FC51652"/>
    <w:rsid w:val="0FCA7866"/>
    <w:rsid w:val="1046556A"/>
    <w:rsid w:val="1059542B"/>
    <w:rsid w:val="106A5170"/>
    <w:rsid w:val="10A87570"/>
    <w:rsid w:val="10C413F4"/>
    <w:rsid w:val="10D748F2"/>
    <w:rsid w:val="10F36448"/>
    <w:rsid w:val="11285E51"/>
    <w:rsid w:val="115A5477"/>
    <w:rsid w:val="117F1DA0"/>
    <w:rsid w:val="11F75BDE"/>
    <w:rsid w:val="123B2B95"/>
    <w:rsid w:val="12584D88"/>
    <w:rsid w:val="126A56B1"/>
    <w:rsid w:val="12945F1E"/>
    <w:rsid w:val="12A94F14"/>
    <w:rsid w:val="131321A0"/>
    <w:rsid w:val="1341363F"/>
    <w:rsid w:val="13882AFA"/>
    <w:rsid w:val="139F0C44"/>
    <w:rsid w:val="13E04159"/>
    <w:rsid w:val="14420627"/>
    <w:rsid w:val="144D30BB"/>
    <w:rsid w:val="144F2D9B"/>
    <w:rsid w:val="147642D5"/>
    <w:rsid w:val="148202EB"/>
    <w:rsid w:val="14A6763A"/>
    <w:rsid w:val="151B639D"/>
    <w:rsid w:val="1528753C"/>
    <w:rsid w:val="157714B6"/>
    <w:rsid w:val="16197B2D"/>
    <w:rsid w:val="16606718"/>
    <w:rsid w:val="1683253C"/>
    <w:rsid w:val="16897CD4"/>
    <w:rsid w:val="16B81DEC"/>
    <w:rsid w:val="16D11143"/>
    <w:rsid w:val="176A2022"/>
    <w:rsid w:val="178972C7"/>
    <w:rsid w:val="179877EC"/>
    <w:rsid w:val="17E575D5"/>
    <w:rsid w:val="17FD3E3D"/>
    <w:rsid w:val="1835615B"/>
    <w:rsid w:val="18423A1A"/>
    <w:rsid w:val="18515F8F"/>
    <w:rsid w:val="18750BD3"/>
    <w:rsid w:val="18792B67"/>
    <w:rsid w:val="18884B36"/>
    <w:rsid w:val="188B31CD"/>
    <w:rsid w:val="188D1E99"/>
    <w:rsid w:val="18F0757F"/>
    <w:rsid w:val="191B15FA"/>
    <w:rsid w:val="192E04F2"/>
    <w:rsid w:val="19657F30"/>
    <w:rsid w:val="19AB59B1"/>
    <w:rsid w:val="19DA292B"/>
    <w:rsid w:val="19F43CD7"/>
    <w:rsid w:val="1A165E35"/>
    <w:rsid w:val="1A19199C"/>
    <w:rsid w:val="1A635A6F"/>
    <w:rsid w:val="1AA07FAF"/>
    <w:rsid w:val="1ABD1400"/>
    <w:rsid w:val="1AC67DB1"/>
    <w:rsid w:val="1ACE62DA"/>
    <w:rsid w:val="1AF0527E"/>
    <w:rsid w:val="1B262669"/>
    <w:rsid w:val="1B2F475B"/>
    <w:rsid w:val="1B67330B"/>
    <w:rsid w:val="1B714019"/>
    <w:rsid w:val="1BD30682"/>
    <w:rsid w:val="1BE81A79"/>
    <w:rsid w:val="1BFB6DCB"/>
    <w:rsid w:val="1C2C6CC3"/>
    <w:rsid w:val="1C467DB1"/>
    <w:rsid w:val="1C6566F8"/>
    <w:rsid w:val="1C71645F"/>
    <w:rsid w:val="1C753457"/>
    <w:rsid w:val="1CBF698F"/>
    <w:rsid w:val="1CD03485"/>
    <w:rsid w:val="1CD36A74"/>
    <w:rsid w:val="1D040361"/>
    <w:rsid w:val="1D0E1332"/>
    <w:rsid w:val="1D2643DC"/>
    <w:rsid w:val="1D387E05"/>
    <w:rsid w:val="1D6723D0"/>
    <w:rsid w:val="1D734E12"/>
    <w:rsid w:val="1D8A7469"/>
    <w:rsid w:val="1D970AB7"/>
    <w:rsid w:val="1DF74054"/>
    <w:rsid w:val="1E074207"/>
    <w:rsid w:val="1E765BA3"/>
    <w:rsid w:val="1E854EF5"/>
    <w:rsid w:val="1E8A1752"/>
    <w:rsid w:val="1E8B77E3"/>
    <w:rsid w:val="1EA13671"/>
    <w:rsid w:val="1ECA2119"/>
    <w:rsid w:val="1EEB6B7B"/>
    <w:rsid w:val="1F134BC9"/>
    <w:rsid w:val="1F6F629D"/>
    <w:rsid w:val="1FA83581"/>
    <w:rsid w:val="1FC11B90"/>
    <w:rsid w:val="20191124"/>
    <w:rsid w:val="201A0CED"/>
    <w:rsid w:val="202E09B5"/>
    <w:rsid w:val="203A61F2"/>
    <w:rsid w:val="20423BF5"/>
    <w:rsid w:val="2065066A"/>
    <w:rsid w:val="207F7337"/>
    <w:rsid w:val="20C27180"/>
    <w:rsid w:val="21090E4E"/>
    <w:rsid w:val="21094F89"/>
    <w:rsid w:val="21181627"/>
    <w:rsid w:val="21680CBC"/>
    <w:rsid w:val="217E6F50"/>
    <w:rsid w:val="2187600B"/>
    <w:rsid w:val="218C7899"/>
    <w:rsid w:val="21B618F3"/>
    <w:rsid w:val="21BC4A7A"/>
    <w:rsid w:val="22225F1D"/>
    <w:rsid w:val="230B1655"/>
    <w:rsid w:val="23133400"/>
    <w:rsid w:val="231E1545"/>
    <w:rsid w:val="235C1F24"/>
    <w:rsid w:val="238724B5"/>
    <w:rsid w:val="23A22757"/>
    <w:rsid w:val="23B9276C"/>
    <w:rsid w:val="23C137AC"/>
    <w:rsid w:val="23C833CA"/>
    <w:rsid w:val="23CF6E5A"/>
    <w:rsid w:val="23E309E0"/>
    <w:rsid w:val="241E0169"/>
    <w:rsid w:val="243715C5"/>
    <w:rsid w:val="24394893"/>
    <w:rsid w:val="24614760"/>
    <w:rsid w:val="24661BA8"/>
    <w:rsid w:val="254C0281"/>
    <w:rsid w:val="254F53B2"/>
    <w:rsid w:val="256A6C11"/>
    <w:rsid w:val="25793126"/>
    <w:rsid w:val="25951A9B"/>
    <w:rsid w:val="25955122"/>
    <w:rsid w:val="25C2562C"/>
    <w:rsid w:val="261A7B52"/>
    <w:rsid w:val="26255B3C"/>
    <w:rsid w:val="26301F7E"/>
    <w:rsid w:val="263B3B15"/>
    <w:rsid w:val="264214D3"/>
    <w:rsid w:val="269E7021"/>
    <w:rsid w:val="26B43E10"/>
    <w:rsid w:val="26B909A0"/>
    <w:rsid w:val="26BE1A31"/>
    <w:rsid w:val="270744C1"/>
    <w:rsid w:val="274C4020"/>
    <w:rsid w:val="27583987"/>
    <w:rsid w:val="27733199"/>
    <w:rsid w:val="277E01FB"/>
    <w:rsid w:val="27B871AB"/>
    <w:rsid w:val="281768E6"/>
    <w:rsid w:val="2841784D"/>
    <w:rsid w:val="2845430B"/>
    <w:rsid w:val="284F1EA3"/>
    <w:rsid w:val="28F645D4"/>
    <w:rsid w:val="292E3C34"/>
    <w:rsid w:val="292F169C"/>
    <w:rsid w:val="293F4348"/>
    <w:rsid w:val="29457816"/>
    <w:rsid w:val="29495357"/>
    <w:rsid w:val="29AD725A"/>
    <w:rsid w:val="29B457D1"/>
    <w:rsid w:val="29BD5647"/>
    <w:rsid w:val="29D66648"/>
    <w:rsid w:val="29E44E1A"/>
    <w:rsid w:val="29F701AD"/>
    <w:rsid w:val="2A530BC4"/>
    <w:rsid w:val="2A563CBB"/>
    <w:rsid w:val="2A5B51E3"/>
    <w:rsid w:val="2A6061FA"/>
    <w:rsid w:val="2A9E7D3E"/>
    <w:rsid w:val="2AA16A05"/>
    <w:rsid w:val="2ACD2377"/>
    <w:rsid w:val="2AD43AD9"/>
    <w:rsid w:val="2AE41477"/>
    <w:rsid w:val="2B7C4894"/>
    <w:rsid w:val="2B7D448A"/>
    <w:rsid w:val="2B7F36F4"/>
    <w:rsid w:val="2BC06237"/>
    <w:rsid w:val="2BC451DD"/>
    <w:rsid w:val="2C0916A3"/>
    <w:rsid w:val="2C1B229F"/>
    <w:rsid w:val="2C2052B9"/>
    <w:rsid w:val="2C261009"/>
    <w:rsid w:val="2C467D54"/>
    <w:rsid w:val="2C4C356D"/>
    <w:rsid w:val="2C772E9D"/>
    <w:rsid w:val="2C9E309F"/>
    <w:rsid w:val="2CBA6ABA"/>
    <w:rsid w:val="2CCC5824"/>
    <w:rsid w:val="2CF12878"/>
    <w:rsid w:val="2D000850"/>
    <w:rsid w:val="2D365A9A"/>
    <w:rsid w:val="2D373649"/>
    <w:rsid w:val="2D6A081E"/>
    <w:rsid w:val="2D735F1A"/>
    <w:rsid w:val="2D870320"/>
    <w:rsid w:val="2D8D3577"/>
    <w:rsid w:val="2D973A2A"/>
    <w:rsid w:val="2D992B65"/>
    <w:rsid w:val="2D9B2C59"/>
    <w:rsid w:val="2DB96C27"/>
    <w:rsid w:val="2E0E1ACA"/>
    <w:rsid w:val="2E706091"/>
    <w:rsid w:val="2EC4460B"/>
    <w:rsid w:val="2EDD3E09"/>
    <w:rsid w:val="2EF945EE"/>
    <w:rsid w:val="2EFD7117"/>
    <w:rsid w:val="2F051A4F"/>
    <w:rsid w:val="2F0E29F7"/>
    <w:rsid w:val="2F2C3288"/>
    <w:rsid w:val="2FDC166B"/>
    <w:rsid w:val="2FFA4F58"/>
    <w:rsid w:val="3026776F"/>
    <w:rsid w:val="305E4FEB"/>
    <w:rsid w:val="30977E04"/>
    <w:rsid w:val="30B75A1B"/>
    <w:rsid w:val="30E00AF0"/>
    <w:rsid w:val="3130438D"/>
    <w:rsid w:val="31E628DF"/>
    <w:rsid w:val="32372C2C"/>
    <w:rsid w:val="326D2DBC"/>
    <w:rsid w:val="32A039E3"/>
    <w:rsid w:val="32B42531"/>
    <w:rsid w:val="32C33932"/>
    <w:rsid w:val="32E73297"/>
    <w:rsid w:val="33A07BE4"/>
    <w:rsid w:val="33C365B8"/>
    <w:rsid w:val="34201087"/>
    <w:rsid w:val="34662018"/>
    <w:rsid w:val="34922F2A"/>
    <w:rsid w:val="34BA6EF0"/>
    <w:rsid w:val="34C07706"/>
    <w:rsid w:val="34EF4346"/>
    <w:rsid w:val="350A79AB"/>
    <w:rsid w:val="35553613"/>
    <w:rsid w:val="35C43605"/>
    <w:rsid w:val="35E70DA6"/>
    <w:rsid w:val="35FF67DD"/>
    <w:rsid w:val="36350E27"/>
    <w:rsid w:val="364642F8"/>
    <w:rsid w:val="36B03928"/>
    <w:rsid w:val="36BC0669"/>
    <w:rsid w:val="36CD3903"/>
    <w:rsid w:val="379D4CFD"/>
    <w:rsid w:val="37A40F81"/>
    <w:rsid w:val="37B62A4C"/>
    <w:rsid w:val="37CA27B2"/>
    <w:rsid w:val="37E861C2"/>
    <w:rsid w:val="38777C43"/>
    <w:rsid w:val="38B5457A"/>
    <w:rsid w:val="38C96909"/>
    <w:rsid w:val="38DA4706"/>
    <w:rsid w:val="38FE1BB2"/>
    <w:rsid w:val="391A2A30"/>
    <w:rsid w:val="39382809"/>
    <w:rsid w:val="394F7E54"/>
    <w:rsid w:val="396532C1"/>
    <w:rsid w:val="39CD0653"/>
    <w:rsid w:val="39F00BF1"/>
    <w:rsid w:val="39F3212E"/>
    <w:rsid w:val="39F37DE0"/>
    <w:rsid w:val="39F65568"/>
    <w:rsid w:val="3A307648"/>
    <w:rsid w:val="3A397C16"/>
    <w:rsid w:val="3A5F4C48"/>
    <w:rsid w:val="3A6B24FF"/>
    <w:rsid w:val="3A860255"/>
    <w:rsid w:val="3A96537E"/>
    <w:rsid w:val="3ACD45DD"/>
    <w:rsid w:val="3AD75F11"/>
    <w:rsid w:val="3B4A729C"/>
    <w:rsid w:val="3B4E60AE"/>
    <w:rsid w:val="3B7437CF"/>
    <w:rsid w:val="3B744750"/>
    <w:rsid w:val="3B8917DC"/>
    <w:rsid w:val="3BC12354"/>
    <w:rsid w:val="3BEB40FE"/>
    <w:rsid w:val="3C214699"/>
    <w:rsid w:val="3C374482"/>
    <w:rsid w:val="3C6F003A"/>
    <w:rsid w:val="3CCE1F97"/>
    <w:rsid w:val="3CFB515E"/>
    <w:rsid w:val="3D012483"/>
    <w:rsid w:val="3D090F83"/>
    <w:rsid w:val="3D605650"/>
    <w:rsid w:val="3D7122FE"/>
    <w:rsid w:val="3D8D5201"/>
    <w:rsid w:val="3D9D73F7"/>
    <w:rsid w:val="3DB8684C"/>
    <w:rsid w:val="3DCC3A97"/>
    <w:rsid w:val="3E1516C8"/>
    <w:rsid w:val="3E1627CF"/>
    <w:rsid w:val="3E407BB0"/>
    <w:rsid w:val="3E997BFF"/>
    <w:rsid w:val="3EE00669"/>
    <w:rsid w:val="3EE17330"/>
    <w:rsid w:val="3EED057B"/>
    <w:rsid w:val="3F033EB5"/>
    <w:rsid w:val="3FF15F9A"/>
    <w:rsid w:val="40454332"/>
    <w:rsid w:val="407836D3"/>
    <w:rsid w:val="408314A4"/>
    <w:rsid w:val="409961DC"/>
    <w:rsid w:val="409A69D6"/>
    <w:rsid w:val="40A33857"/>
    <w:rsid w:val="40AD2440"/>
    <w:rsid w:val="41792933"/>
    <w:rsid w:val="417C0F1B"/>
    <w:rsid w:val="41CF1374"/>
    <w:rsid w:val="423E0EBE"/>
    <w:rsid w:val="42417B01"/>
    <w:rsid w:val="42A0166A"/>
    <w:rsid w:val="42B54BC9"/>
    <w:rsid w:val="42E1036B"/>
    <w:rsid w:val="42F00B51"/>
    <w:rsid w:val="431079A8"/>
    <w:rsid w:val="43415B6D"/>
    <w:rsid w:val="435206A2"/>
    <w:rsid w:val="435E1BBE"/>
    <w:rsid w:val="43713ECF"/>
    <w:rsid w:val="43821535"/>
    <w:rsid w:val="43831C2C"/>
    <w:rsid w:val="438C48E7"/>
    <w:rsid w:val="43AA72ED"/>
    <w:rsid w:val="43B6192F"/>
    <w:rsid w:val="43DA7A6B"/>
    <w:rsid w:val="440B09CE"/>
    <w:rsid w:val="440D6740"/>
    <w:rsid w:val="443B01A7"/>
    <w:rsid w:val="44DC2B5F"/>
    <w:rsid w:val="452E68D9"/>
    <w:rsid w:val="45306F77"/>
    <w:rsid w:val="45801C85"/>
    <w:rsid w:val="45E515FD"/>
    <w:rsid w:val="463B43E1"/>
    <w:rsid w:val="46934726"/>
    <w:rsid w:val="469A0F01"/>
    <w:rsid w:val="46A26BAF"/>
    <w:rsid w:val="46DD2039"/>
    <w:rsid w:val="46E131E3"/>
    <w:rsid w:val="47140D77"/>
    <w:rsid w:val="471B1465"/>
    <w:rsid w:val="47BB3440"/>
    <w:rsid w:val="47E25479"/>
    <w:rsid w:val="47E905B6"/>
    <w:rsid w:val="47F670E2"/>
    <w:rsid w:val="47FA603D"/>
    <w:rsid w:val="482D730C"/>
    <w:rsid w:val="485328E8"/>
    <w:rsid w:val="486937F1"/>
    <w:rsid w:val="489830A8"/>
    <w:rsid w:val="48CE2C1D"/>
    <w:rsid w:val="48F54AA4"/>
    <w:rsid w:val="48FD7139"/>
    <w:rsid w:val="490B5559"/>
    <w:rsid w:val="491C197E"/>
    <w:rsid w:val="495A3A75"/>
    <w:rsid w:val="49640E85"/>
    <w:rsid w:val="49C04EA2"/>
    <w:rsid w:val="49C54062"/>
    <w:rsid w:val="49C54FB5"/>
    <w:rsid w:val="4A1C3FBA"/>
    <w:rsid w:val="4A423BAD"/>
    <w:rsid w:val="4A856F39"/>
    <w:rsid w:val="4AED005E"/>
    <w:rsid w:val="4B3D0D66"/>
    <w:rsid w:val="4B67256D"/>
    <w:rsid w:val="4B7E13CA"/>
    <w:rsid w:val="4BB22716"/>
    <w:rsid w:val="4BF70576"/>
    <w:rsid w:val="4C214DC1"/>
    <w:rsid w:val="4C44316F"/>
    <w:rsid w:val="4C6A6B14"/>
    <w:rsid w:val="4C925FBE"/>
    <w:rsid w:val="4C937241"/>
    <w:rsid w:val="4CAF7524"/>
    <w:rsid w:val="4CB81CDB"/>
    <w:rsid w:val="4CEA6683"/>
    <w:rsid w:val="4CEE6A84"/>
    <w:rsid w:val="4D26470D"/>
    <w:rsid w:val="4D931670"/>
    <w:rsid w:val="4D9D7463"/>
    <w:rsid w:val="4DA66DF2"/>
    <w:rsid w:val="4E133AD3"/>
    <w:rsid w:val="4E292CDB"/>
    <w:rsid w:val="4E366807"/>
    <w:rsid w:val="4E531631"/>
    <w:rsid w:val="4EB23368"/>
    <w:rsid w:val="4EC80D34"/>
    <w:rsid w:val="4F021642"/>
    <w:rsid w:val="4F062522"/>
    <w:rsid w:val="4F124C8D"/>
    <w:rsid w:val="4F2014BA"/>
    <w:rsid w:val="4F2E72F4"/>
    <w:rsid w:val="4F3E1947"/>
    <w:rsid w:val="4F5328C2"/>
    <w:rsid w:val="4FC5592F"/>
    <w:rsid w:val="4FCD53A2"/>
    <w:rsid w:val="4FCF3A50"/>
    <w:rsid w:val="4FD761D5"/>
    <w:rsid w:val="4FEC44EB"/>
    <w:rsid w:val="50A56B0F"/>
    <w:rsid w:val="50C12C3D"/>
    <w:rsid w:val="50C7092F"/>
    <w:rsid w:val="50D25414"/>
    <w:rsid w:val="50D6427A"/>
    <w:rsid w:val="51412A24"/>
    <w:rsid w:val="51482015"/>
    <w:rsid w:val="51535E50"/>
    <w:rsid w:val="51575805"/>
    <w:rsid w:val="516A2B6B"/>
    <w:rsid w:val="518A163F"/>
    <w:rsid w:val="51C64593"/>
    <w:rsid w:val="51D17082"/>
    <w:rsid w:val="521F583C"/>
    <w:rsid w:val="523B5BC2"/>
    <w:rsid w:val="52850885"/>
    <w:rsid w:val="52FD7858"/>
    <w:rsid w:val="52FF77EE"/>
    <w:rsid w:val="53101248"/>
    <w:rsid w:val="53286C69"/>
    <w:rsid w:val="535009CC"/>
    <w:rsid w:val="535154A7"/>
    <w:rsid w:val="53850FB2"/>
    <w:rsid w:val="53BE616B"/>
    <w:rsid w:val="53C971BA"/>
    <w:rsid w:val="541524CD"/>
    <w:rsid w:val="54510256"/>
    <w:rsid w:val="545976BF"/>
    <w:rsid w:val="54795C7E"/>
    <w:rsid w:val="54AC1C51"/>
    <w:rsid w:val="54B466C8"/>
    <w:rsid w:val="554051AD"/>
    <w:rsid w:val="555A6458"/>
    <w:rsid w:val="557409DC"/>
    <w:rsid w:val="5589777F"/>
    <w:rsid w:val="559F32DB"/>
    <w:rsid w:val="55A05932"/>
    <w:rsid w:val="55B33446"/>
    <w:rsid w:val="55E42FA4"/>
    <w:rsid w:val="56084843"/>
    <w:rsid w:val="56282493"/>
    <w:rsid w:val="56392FD2"/>
    <w:rsid w:val="568874CE"/>
    <w:rsid w:val="568D3588"/>
    <w:rsid w:val="56BF603B"/>
    <w:rsid w:val="56D5188C"/>
    <w:rsid w:val="56E322E1"/>
    <w:rsid w:val="56FD047F"/>
    <w:rsid w:val="57376FBE"/>
    <w:rsid w:val="57963D81"/>
    <w:rsid w:val="57963E56"/>
    <w:rsid w:val="57A62EAD"/>
    <w:rsid w:val="57CD25CE"/>
    <w:rsid w:val="57E21F19"/>
    <w:rsid w:val="58A5600E"/>
    <w:rsid w:val="58B61FA2"/>
    <w:rsid w:val="58D35279"/>
    <w:rsid w:val="591D295D"/>
    <w:rsid w:val="59465348"/>
    <w:rsid w:val="59DF140A"/>
    <w:rsid w:val="5A5B4ECE"/>
    <w:rsid w:val="5A9849BD"/>
    <w:rsid w:val="5AE54863"/>
    <w:rsid w:val="5B076556"/>
    <w:rsid w:val="5B081B2D"/>
    <w:rsid w:val="5B162869"/>
    <w:rsid w:val="5B320812"/>
    <w:rsid w:val="5B8C3DCE"/>
    <w:rsid w:val="5BB90294"/>
    <w:rsid w:val="5BED6CE2"/>
    <w:rsid w:val="5C195ADB"/>
    <w:rsid w:val="5C270B5A"/>
    <w:rsid w:val="5C596864"/>
    <w:rsid w:val="5CC3643D"/>
    <w:rsid w:val="5CCC52B2"/>
    <w:rsid w:val="5D237453"/>
    <w:rsid w:val="5D677890"/>
    <w:rsid w:val="5D8238FE"/>
    <w:rsid w:val="5D8C6EBF"/>
    <w:rsid w:val="5DAC07DC"/>
    <w:rsid w:val="5DBC7BD9"/>
    <w:rsid w:val="5DE1789F"/>
    <w:rsid w:val="5DEE728C"/>
    <w:rsid w:val="5DFA5220"/>
    <w:rsid w:val="5DFA6B87"/>
    <w:rsid w:val="5E024AAC"/>
    <w:rsid w:val="5E401669"/>
    <w:rsid w:val="5E6B678A"/>
    <w:rsid w:val="5ED4009B"/>
    <w:rsid w:val="5EE7495D"/>
    <w:rsid w:val="5F0F2F37"/>
    <w:rsid w:val="5F185822"/>
    <w:rsid w:val="5F233F24"/>
    <w:rsid w:val="5F6153BB"/>
    <w:rsid w:val="5F8C5605"/>
    <w:rsid w:val="5F8C5F9E"/>
    <w:rsid w:val="601D49E2"/>
    <w:rsid w:val="60635EE8"/>
    <w:rsid w:val="606E1EDA"/>
    <w:rsid w:val="607E463E"/>
    <w:rsid w:val="608532A6"/>
    <w:rsid w:val="60AF3DB6"/>
    <w:rsid w:val="60FA7964"/>
    <w:rsid w:val="613827C8"/>
    <w:rsid w:val="616B0D5E"/>
    <w:rsid w:val="61750225"/>
    <w:rsid w:val="61C00531"/>
    <w:rsid w:val="62203EE1"/>
    <w:rsid w:val="6228558A"/>
    <w:rsid w:val="62443E46"/>
    <w:rsid w:val="625128FC"/>
    <w:rsid w:val="627B328D"/>
    <w:rsid w:val="6298104B"/>
    <w:rsid w:val="62A17850"/>
    <w:rsid w:val="62BB4CB6"/>
    <w:rsid w:val="62C46EE5"/>
    <w:rsid w:val="62F0541A"/>
    <w:rsid w:val="63073538"/>
    <w:rsid w:val="6317621B"/>
    <w:rsid w:val="635E1D55"/>
    <w:rsid w:val="637272BC"/>
    <w:rsid w:val="639C0AED"/>
    <w:rsid w:val="63AA6A15"/>
    <w:rsid w:val="63C21D26"/>
    <w:rsid w:val="643844C1"/>
    <w:rsid w:val="64AA4D0D"/>
    <w:rsid w:val="64C3423A"/>
    <w:rsid w:val="64DF46E5"/>
    <w:rsid w:val="64F7646F"/>
    <w:rsid w:val="656A3512"/>
    <w:rsid w:val="657945EA"/>
    <w:rsid w:val="658A4929"/>
    <w:rsid w:val="659C73AD"/>
    <w:rsid w:val="65B53114"/>
    <w:rsid w:val="65B659D2"/>
    <w:rsid w:val="65ED2A1B"/>
    <w:rsid w:val="65F5475C"/>
    <w:rsid w:val="65FF0840"/>
    <w:rsid w:val="66060E59"/>
    <w:rsid w:val="660A4813"/>
    <w:rsid w:val="66AC02EF"/>
    <w:rsid w:val="66AE226F"/>
    <w:rsid w:val="67194EB4"/>
    <w:rsid w:val="678925BA"/>
    <w:rsid w:val="67A6773B"/>
    <w:rsid w:val="67F50255"/>
    <w:rsid w:val="681234B1"/>
    <w:rsid w:val="682E1E99"/>
    <w:rsid w:val="68443288"/>
    <w:rsid w:val="688C3EFE"/>
    <w:rsid w:val="68C75203"/>
    <w:rsid w:val="68F354C1"/>
    <w:rsid w:val="68F45EE6"/>
    <w:rsid w:val="68F81D57"/>
    <w:rsid w:val="68FF7225"/>
    <w:rsid w:val="69131DE7"/>
    <w:rsid w:val="693319C6"/>
    <w:rsid w:val="694F6E53"/>
    <w:rsid w:val="699C5AC0"/>
    <w:rsid w:val="69C81AC5"/>
    <w:rsid w:val="69FC4F72"/>
    <w:rsid w:val="6A5E46A8"/>
    <w:rsid w:val="6A8C7A80"/>
    <w:rsid w:val="6ABC3835"/>
    <w:rsid w:val="6AC11E53"/>
    <w:rsid w:val="6ADA53CD"/>
    <w:rsid w:val="6B106767"/>
    <w:rsid w:val="6B431208"/>
    <w:rsid w:val="6B607C90"/>
    <w:rsid w:val="6B723B44"/>
    <w:rsid w:val="6BC5014E"/>
    <w:rsid w:val="6C3B499A"/>
    <w:rsid w:val="6C400016"/>
    <w:rsid w:val="6C766527"/>
    <w:rsid w:val="6CB43ACA"/>
    <w:rsid w:val="6CC77CEF"/>
    <w:rsid w:val="6CCE5E30"/>
    <w:rsid w:val="6CD526A0"/>
    <w:rsid w:val="6D041495"/>
    <w:rsid w:val="6D2B0E24"/>
    <w:rsid w:val="6D680945"/>
    <w:rsid w:val="6D6B65F4"/>
    <w:rsid w:val="6D951A00"/>
    <w:rsid w:val="6DBC24C5"/>
    <w:rsid w:val="6DC47760"/>
    <w:rsid w:val="6DD6199E"/>
    <w:rsid w:val="6E257B42"/>
    <w:rsid w:val="6E3D6EF7"/>
    <w:rsid w:val="6E6318E6"/>
    <w:rsid w:val="6EA26672"/>
    <w:rsid w:val="6EBE180C"/>
    <w:rsid w:val="6ECA6BC1"/>
    <w:rsid w:val="6ED726E3"/>
    <w:rsid w:val="6EEC3703"/>
    <w:rsid w:val="6EFB4D74"/>
    <w:rsid w:val="6F3F526C"/>
    <w:rsid w:val="6FAF76B7"/>
    <w:rsid w:val="6FFB60CB"/>
    <w:rsid w:val="70082791"/>
    <w:rsid w:val="70241D4E"/>
    <w:rsid w:val="7053588B"/>
    <w:rsid w:val="70852B02"/>
    <w:rsid w:val="708E421E"/>
    <w:rsid w:val="709A320E"/>
    <w:rsid w:val="70E54E2D"/>
    <w:rsid w:val="710F1C73"/>
    <w:rsid w:val="711C55FB"/>
    <w:rsid w:val="714E369E"/>
    <w:rsid w:val="719955D4"/>
    <w:rsid w:val="71D906FC"/>
    <w:rsid w:val="71FA0075"/>
    <w:rsid w:val="72026E5C"/>
    <w:rsid w:val="721C217C"/>
    <w:rsid w:val="72CA0DDA"/>
    <w:rsid w:val="72E56680"/>
    <w:rsid w:val="72F65E4D"/>
    <w:rsid w:val="730155C6"/>
    <w:rsid w:val="73146662"/>
    <w:rsid w:val="737A7DC2"/>
    <w:rsid w:val="73B64662"/>
    <w:rsid w:val="73BC19A2"/>
    <w:rsid w:val="73F37195"/>
    <w:rsid w:val="747E6B03"/>
    <w:rsid w:val="74996745"/>
    <w:rsid w:val="74D131EA"/>
    <w:rsid w:val="750F5791"/>
    <w:rsid w:val="7513767B"/>
    <w:rsid w:val="752207B4"/>
    <w:rsid w:val="755002B7"/>
    <w:rsid w:val="75597EAB"/>
    <w:rsid w:val="756E095B"/>
    <w:rsid w:val="757342E4"/>
    <w:rsid w:val="75810F02"/>
    <w:rsid w:val="75923D16"/>
    <w:rsid w:val="75BF376D"/>
    <w:rsid w:val="766C19CA"/>
    <w:rsid w:val="768502A5"/>
    <w:rsid w:val="76C3672A"/>
    <w:rsid w:val="77225AD2"/>
    <w:rsid w:val="7740416E"/>
    <w:rsid w:val="776F156C"/>
    <w:rsid w:val="77944D3E"/>
    <w:rsid w:val="77A82AF8"/>
    <w:rsid w:val="78220ADF"/>
    <w:rsid w:val="78436B85"/>
    <w:rsid w:val="78443346"/>
    <w:rsid w:val="784A49FB"/>
    <w:rsid w:val="7858071D"/>
    <w:rsid w:val="785C0913"/>
    <w:rsid w:val="788F5AC6"/>
    <w:rsid w:val="78BB7A11"/>
    <w:rsid w:val="78DD4E0E"/>
    <w:rsid w:val="792E2FE7"/>
    <w:rsid w:val="794C1744"/>
    <w:rsid w:val="79A027FB"/>
    <w:rsid w:val="79A64F84"/>
    <w:rsid w:val="79B745C6"/>
    <w:rsid w:val="79C770F7"/>
    <w:rsid w:val="7A3F43E6"/>
    <w:rsid w:val="7A674C36"/>
    <w:rsid w:val="7ABC6D2F"/>
    <w:rsid w:val="7AE1408A"/>
    <w:rsid w:val="7AE51C13"/>
    <w:rsid w:val="7AE83ABA"/>
    <w:rsid w:val="7B1812F9"/>
    <w:rsid w:val="7B6C672B"/>
    <w:rsid w:val="7B8B72B2"/>
    <w:rsid w:val="7BD23232"/>
    <w:rsid w:val="7BEC3212"/>
    <w:rsid w:val="7BF5313C"/>
    <w:rsid w:val="7C32269D"/>
    <w:rsid w:val="7C9D7E92"/>
    <w:rsid w:val="7CF20F99"/>
    <w:rsid w:val="7D0209D3"/>
    <w:rsid w:val="7D321335"/>
    <w:rsid w:val="7D8B51E9"/>
    <w:rsid w:val="7D994B05"/>
    <w:rsid w:val="7DBF6D97"/>
    <w:rsid w:val="7E21482D"/>
    <w:rsid w:val="7E4F1A65"/>
    <w:rsid w:val="7E977D02"/>
    <w:rsid w:val="7F007474"/>
    <w:rsid w:val="7F2D567C"/>
    <w:rsid w:val="7F485B22"/>
    <w:rsid w:val="7F53572E"/>
    <w:rsid w:val="7F541B50"/>
    <w:rsid w:val="7F636B22"/>
    <w:rsid w:val="7F7E4DEB"/>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706980-25CD-4DA1-A893-62A78845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iPriority="0"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rFonts w:eastAsia="Batang"/>
      <w:b/>
      <w:bCs/>
      <w:sz w:val="21"/>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Chars="200" w:left="420"/>
    </w:pPr>
  </w:style>
  <w:style w:type="paragraph" w:styleId="a9">
    <w:name w:val="Plain Text"/>
    <w:basedOn w:val="a"/>
    <w:link w:val="Char4"/>
    <w:uiPriority w:val="99"/>
    <w:unhideWhenUsed/>
    <w:qFormat/>
    <w:pPr>
      <w:spacing w:after="0" w:line="240" w:lineRule="auto"/>
    </w:pPr>
    <w:rPr>
      <w:rFonts w:eastAsia="Calibri"/>
      <w:szCs w:val="21"/>
      <w:lang w:val="en-GB" w:eastAsia="en-US"/>
    </w:rPr>
  </w:style>
  <w:style w:type="paragraph" w:styleId="aa">
    <w:name w:val="Date"/>
    <w:basedOn w:val="a"/>
    <w:next w:val="a"/>
    <w:link w:val="Char5"/>
    <w:uiPriority w:val="99"/>
    <w:unhideWhenUsed/>
    <w:qFormat/>
    <w:pPr>
      <w:ind w:leftChars="2500" w:left="100"/>
    </w:pPr>
  </w:style>
  <w:style w:type="paragraph" w:styleId="ab">
    <w:name w:val="Balloon Text"/>
    <w:basedOn w:val="a"/>
    <w:link w:val="Char6"/>
    <w:uiPriority w:val="99"/>
    <w:unhideWhenUsed/>
    <w:qFormat/>
    <w:pPr>
      <w:spacing w:after="0" w:line="240" w:lineRule="auto"/>
    </w:pPr>
    <w:rPr>
      <w:rFonts w:ascii="Tahoma" w:hAnsi="Tahoma"/>
      <w:sz w:val="16"/>
      <w:szCs w:val="16"/>
    </w:rPr>
  </w:style>
  <w:style w:type="paragraph" w:styleId="ac">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d">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e">
    <w:name w:val="List"/>
    <w:basedOn w:val="a"/>
    <w:uiPriority w:val="99"/>
    <w:unhideWhenUsed/>
    <w:qFormat/>
    <w:pPr>
      <w:ind w:left="200" w:hangingChars="200" w:hanging="200"/>
      <w:contextualSpacing/>
    </w:p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semiHidden/>
    <w:qFormat/>
  </w:style>
  <w:style w:type="character" w:styleId="af5">
    <w:name w:val="FollowedHyperlink"/>
    <w:basedOn w:val="a0"/>
    <w:uiPriority w:val="99"/>
    <w:semiHidden/>
    <w:unhideWhenUsed/>
    <w:qFormat/>
    <w:rPr>
      <w:color w:val="666666"/>
      <w:u w:val="none"/>
    </w:rPr>
  </w:style>
  <w:style w:type="character" w:styleId="af6">
    <w:name w:val="Emphasis"/>
    <w:basedOn w:val="a0"/>
    <w:uiPriority w:val="20"/>
    <w:qFormat/>
  </w:style>
  <w:style w:type="character" w:styleId="HTML">
    <w:name w:val="HTML Definition"/>
    <w:basedOn w:val="a0"/>
    <w:uiPriority w:val="99"/>
    <w:semiHidden/>
    <w:unhideWhenUsed/>
    <w:qFormat/>
  </w:style>
  <w:style w:type="character" w:styleId="HTML0">
    <w:name w:val="HTML Acronym"/>
    <w:basedOn w:val="a0"/>
    <w:uiPriority w:val="99"/>
    <w:semiHidden/>
    <w:unhideWhenUsed/>
    <w:qFormat/>
  </w:style>
  <w:style w:type="character" w:styleId="HTML1">
    <w:name w:val="HTML Variable"/>
    <w:basedOn w:val="a0"/>
    <w:uiPriority w:val="99"/>
    <w:semiHidden/>
    <w:unhideWhenUsed/>
    <w:qFormat/>
  </w:style>
  <w:style w:type="character" w:styleId="af7">
    <w:name w:val="Hyperlink"/>
    <w:uiPriority w:val="99"/>
    <w:unhideWhenUsed/>
    <w:qFormat/>
    <w:rPr>
      <w:color w:val="0000FF"/>
      <w:u w:val="single"/>
    </w:rPr>
  </w:style>
  <w:style w:type="character" w:styleId="HTML2">
    <w:name w:val="HTML Code"/>
    <w:basedOn w:val="a0"/>
    <w:uiPriority w:val="99"/>
    <w:semiHidden/>
    <w:unhideWhenUsed/>
    <w:qFormat/>
    <w:rPr>
      <w:rFonts w:ascii="Courier New" w:hAnsi="Courier New"/>
      <w:sz w:val="20"/>
    </w:rPr>
  </w:style>
  <w:style w:type="character" w:styleId="af8">
    <w:name w:val="annotation reference"/>
    <w:uiPriority w:val="99"/>
    <w:unhideWhenUsed/>
    <w:qFormat/>
    <w:rPr>
      <w:sz w:val="16"/>
      <w:szCs w:val="16"/>
    </w:rPr>
  </w:style>
  <w:style w:type="character" w:styleId="HTML3">
    <w:name w:val="HTML Cite"/>
    <w:basedOn w:val="a0"/>
    <w:uiPriority w:val="99"/>
    <w:semiHidden/>
    <w:unhideWhenUsed/>
    <w:qFormat/>
  </w:style>
  <w:style w:type="character" w:customStyle="1" w:styleId="Char6">
    <w:name w:val="批注框文本 Char"/>
    <w:link w:val="ab"/>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8">
    <w:name w:val="页眉 Char"/>
    <w:link w:val="ad"/>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9">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c"/>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rFonts w:eastAsia="Batang"/>
      <w:b/>
      <w:bCs/>
      <w:sz w:val="21"/>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5">
    <w:name w:val="日期 Char"/>
    <w:link w:val="aa"/>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pPr>
      <w:spacing w:after="160" w:line="259" w:lineRule="auto"/>
    </w:pPr>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9"/>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link w:val="a8"/>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B1">
    <w:name w:val="B1"/>
    <w:basedOn w:val="ae"/>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Style2">
    <w:name w:val="_Style 2"/>
    <w:basedOn w:val="a"/>
    <w:uiPriority w:val="34"/>
    <w:qFormat/>
    <w:pPr>
      <w:ind w:leftChars="400" w:left="840"/>
    </w:pPr>
  </w:style>
  <w:style w:type="paragraph" w:styleId="afa">
    <w:name w:val="List Paragraph"/>
    <w:basedOn w:val="a"/>
    <w:uiPriority w:val="99"/>
    <w:qFormat/>
    <w:pPr>
      <w:ind w:firstLineChars="200" w:firstLine="420"/>
    </w:p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rPr>
  </w:style>
  <w:style w:type="paragraph" w:customStyle="1" w:styleId="3GPPHeader">
    <w:name w:val="3GPP_Header"/>
    <w:basedOn w:val="a7"/>
    <w:qFormat/>
    <w:pPr>
      <w:tabs>
        <w:tab w:val="left" w:pos="1701"/>
        <w:tab w:val="right" w:pos="9639"/>
      </w:tabs>
      <w:spacing w:after="240"/>
    </w:pPr>
    <w:rPr>
      <w:b/>
      <w:sz w:val="24"/>
    </w:rPr>
  </w:style>
  <w:style w:type="character" w:customStyle="1" w:styleId="IvDbodytextChar">
    <w:name w:val="IvD bodytext Char"/>
    <w:link w:val="IvDbodytext"/>
    <w:qFormat/>
    <w:rPr>
      <w:rFonts w:ascii="Arial" w:eastAsia="Malgun Gothic" w:hAnsi="Arial"/>
      <w:spacing w:val="2"/>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rPr>
  </w:style>
  <w:style w:type="character" w:customStyle="1" w:styleId="ProposalChar">
    <w:name w:val="Proposal Char"/>
    <w:link w:val="Proposal"/>
    <w:qFormat/>
    <w:rPr>
      <w:rFonts w:ascii="Times New Roman" w:eastAsia="Times New Roman" w:hAnsi="Times New Roman"/>
      <w:b/>
      <w:bCs/>
      <w:szCs w:val="20"/>
    </w:rPr>
  </w:style>
  <w:style w:type="character" w:customStyle="1" w:styleId="focus">
    <w:name w:val="focus"/>
    <w:basedOn w:val="a0"/>
    <w:qFormat/>
  </w:style>
  <w:style w:type="paragraph" w:customStyle="1" w:styleId="References">
    <w:name w:val="References"/>
    <w:basedOn w:val="a"/>
    <w:qFormat/>
    <w:pPr>
      <w:tabs>
        <w:tab w:val="left" w:pos="360"/>
      </w:tabs>
      <w:spacing w:beforeLines="50" w:before="50" w:afterLines="50" w:after="60" w:line="259" w:lineRule="auto"/>
      <w:ind w:left="360" w:hanging="360"/>
      <w:jc w:val="both"/>
    </w:pPr>
    <w:rPr>
      <w:kern w:val="2"/>
      <w:sz w:val="21"/>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4495AA-3AF4-407D-864F-582F7D93D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1203</Words>
  <Characters>6863</Characters>
  <Application>Microsoft Office Word</Application>
  <DocSecurity>0</DocSecurity>
  <Lines>57</Lines>
  <Paragraphs>16</Paragraphs>
  <ScaleCrop>false</ScaleCrop>
  <Company>HP</Company>
  <LinksUpToDate>false</LinksUpToDate>
  <CharactersWithSpaces>8050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16</cp:revision>
  <dcterms:created xsi:type="dcterms:W3CDTF">2020-07-30T22:55:00Z</dcterms:created>
  <dcterms:modified xsi:type="dcterms:W3CDTF">2020-10-23T06:33:00Z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